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1 116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06/07/2017</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La Bretonniere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YO 38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OUSSET Jean Pierre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La Bretonniere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DONZY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11 000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 création de la maison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Filière ANC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Vidange prévue avant la vente</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7D798FB8" w14:textId="77777777" w:rsidR="00B8718F" w:rsidRDefault="009F11CC">
      <w:pPr>
        <w:rPr>
          <w:rFonts w:cs="Arial"/>
          <w:sz w:val="18"/>
          <w:szCs w:val="18"/>
        </w:rPr>
      </w:pPr>
      <w:r>
        <w:rPr>
          <w:rFonts w:cs="Arial"/>
          <w:sz w:val="18"/>
          <w:szCs w:val="18"/>
        </w:rPr>
        <w:t/>
      </w:r>
    </w:p>
    <w:p w14:paraId="3B8B6F6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6C4067E" w14:textId="77777777">
        <w:trPr>
          <w:jc w:val="center"/>
        </w:trPr>
        <w:tc>
          <w:tcPr>
            <w:tcW w:w="3343" w:type="dxa"/>
            <w:shd w:val="clear" w:color="auto" w:fill="auto"/>
          </w:tcPr>
          <w:p w14:paraId="6F3E3329" w14:textId="77777777" w:rsidR="00B8718F" w:rsidRDefault="009F11CC">
            <w:pPr>
              <w:rPr>
                <w:rFonts w:cs="Arial"/>
                <w:sz w:val="18"/>
                <w:szCs w:val="18"/>
              </w:rPr>
            </w:pPr>
            <w:r>
              <w:rPr>
                <w:rFonts w:cs="Arial"/>
                <w:sz w:val="18"/>
                <w:szCs w:val="18"/>
              </w:rPr>
              <w:t>Longueur en m / ml</w:t>
            </w:r>
          </w:p>
        </w:tc>
        <w:tc>
          <w:tcPr>
            <w:tcW w:w="7027" w:type="dxa"/>
          </w:tcPr>
          <w:p w14:paraId="403D9D30" w14:textId="77777777" w:rsidR="00B8718F" w:rsidRDefault="009F11CC">
            <w:pPr>
              <w:rPr>
                <w:rFonts w:cs="Arial"/>
                <w:sz w:val="18"/>
                <w:szCs w:val="18"/>
              </w:rPr>
            </w:pPr>
            <w:r>
              <w:rPr>
                <w:rFonts w:cs="Arial"/>
                <w:sz w:val="18"/>
                <w:szCs w:val="18"/>
              </w:rPr>
              <w:t xml:space="preserve"> m</w:t>
            </w:r>
          </w:p>
        </w:tc>
      </w:tr>
      <w:tr w:rsidR="00B8718F" w14:paraId="238473C1" w14:textId="77777777">
        <w:trPr>
          <w:jc w:val="center"/>
        </w:trPr>
        <w:tc>
          <w:tcPr>
            <w:tcW w:w="3343" w:type="dxa"/>
            <w:shd w:val="clear" w:color="auto" w:fill="auto"/>
          </w:tcPr>
          <w:p w14:paraId="7939D142" w14:textId="77777777" w:rsidR="00B8718F" w:rsidRDefault="009F11CC">
            <w:pPr>
              <w:rPr>
                <w:rFonts w:cs="Arial"/>
                <w:sz w:val="18"/>
                <w:szCs w:val="18"/>
              </w:rPr>
            </w:pPr>
            <w:r>
              <w:rPr>
                <w:rFonts w:cs="Arial"/>
                <w:sz w:val="18"/>
                <w:szCs w:val="18"/>
              </w:rPr>
              <w:t>Largeur en m</w:t>
            </w:r>
          </w:p>
        </w:tc>
        <w:tc>
          <w:tcPr>
            <w:tcW w:w="7027" w:type="dxa"/>
          </w:tcPr>
          <w:p w14:paraId="3A1DC7BD" w14:textId="77777777" w:rsidR="00B8718F" w:rsidRDefault="009F11CC">
            <w:pPr>
              <w:rPr>
                <w:rFonts w:cs="Arial"/>
                <w:sz w:val="18"/>
                <w:szCs w:val="18"/>
              </w:rPr>
            </w:pPr>
            <w:r>
              <w:rPr>
                <w:rFonts w:cs="Arial"/>
                <w:sz w:val="18"/>
                <w:szCs w:val="18"/>
              </w:rPr>
              <w:t xml:space="preserve"> m</w:t>
            </w:r>
          </w:p>
        </w:tc>
      </w:tr>
      <w:tr w:rsidR="00B8718F" w14:paraId="5EB7E6F6" w14:textId="77777777">
        <w:trPr>
          <w:jc w:val="center"/>
        </w:trPr>
        <w:tc>
          <w:tcPr>
            <w:tcW w:w="3343" w:type="dxa"/>
            <w:shd w:val="clear" w:color="auto" w:fill="auto"/>
          </w:tcPr>
          <w:p w14:paraId="2B5981A4" w14:textId="77777777" w:rsidR="00B8718F" w:rsidRDefault="009F11CC">
            <w:pPr>
              <w:rPr>
                <w:rFonts w:cs="Arial"/>
                <w:sz w:val="18"/>
                <w:szCs w:val="18"/>
              </w:rPr>
            </w:pPr>
            <w:r>
              <w:rPr>
                <w:rFonts w:cs="Arial"/>
                <w:sz w:val="18"/>
                <w:szCs w:val="18"/>
              </w:rPr>
              <w:t>Surface en m²</w:t>
            </w:r>
          </w:p>
        </w:tc>
        <w:tc>
          <w:tcPr>
            <w:tcW w:w="7027" w:type="dxa"/>
          </w:tcPr>
          <w:p w14:paraId="23CF31D8" w14:textId="77777777" w:rsidR="00B8718F" w:rsidRDefault="009F11CC">
            <w:pPr>
              <w:rPr>
                <w:rFonts w:cs="Arial"/>
                <w:sz w:val="18"/>
                <w:szCs w:val="18"/>
              </w:rPr>
            </w:pPr>
            <w:r>
              <w:rPr>
                <w:rFonts w:cs="Arial"/>
                <w:sz w:val="18"/>
                <w:szCs w:val="18"/>
              </w:rPr>
              <w:t xml:space="preserve"> m²</w:t>
            </w:r>
          </w:p>
        </w:tc>
      </w:tr>
      <w:tr w:rsidR="00B8718F" w14:paraId="504D2C06" w14:textId="77777777">
        <w:trPr>
          <w:jc w:val="center"/>
        </w:trPr>
        <w:tc>
          <w:tcPr>
            <w:tcW w:w="3343" w:type="dxa"/>
            <w:shd w:val="clear" w:color="auto" w:fill="auto"/>
          </w:tcPr>
          <w:p w14:paraId="50244DBF" w14:textId="77777777" w:rsidR="00B8718F" w:rsidRDefault="009F11CC">
            <w:pPr>
              <w:rPr>
                <w:rFonts w:cs="Arial"/>
                <w:sz w:val="18"/>
                <w:szCs w:val="18"/>
              </w:rPr>
            </w:pPr>
            <w:r>
              <w:rPr>
                <w:rFonts w:cs="Arial"/>
                <w:sz w:val="18"/>
                <w:szCs w:val="18"/>
              </w:rPr>
              <w:t>Profondeur en m</w:t>
            </w:r>
          </w:p>
        </w:tc>
        <w:tc>
          <w:tcPr>
            <w:tcW w:w="7027" w:type="dxa"/>
          </w:tcPr>
          <w:p w14:paraId="1BC7852F" w14:textId="77777777" w:rsidR="00B8718F" w:rsidRDefault="009F11CC">
            <w:pPr>
              <w:rPr>
                <w:rFonts w:cs="Arial"/>
                <w:sz w:val="18"/>
                <w:szCs w:val="18"/>
              </w:rPr>
            </w:pPr>
            <w:r>
              <w:rPr>
                <w:rFonts w:cs="Arial"/>
                <w:sz w:val="18"/>
                <w:szCs w:val="18"/>
              </w:rPr>
              <w:t xml:space="preserve"> m</w:t>
            </w:r>
          </w:p>
        </w:tc>
      </w:tr>
      <w:tr w:rsidR="00B8718F" w14:paraId="6E52BE67" w14:textId="77777777">
        <w:trPr>
          <w:jc w:val="center"/>
        </w:trPr>
        <w:tc>
          <w:tcPr>
            <w:tcW w:w="3343" w:type="dxa"/>
            <w:shd w:val="clear" w:color="auto" w:fill="auto"/>
          </w:tcPr>
          <w:p w14:paraId="3B9EB4C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52890A08" w14:textId="77777777" w:rsidR="00B8718F" w:rsidRDefault="009F11CC">
            <w:pPr>
              <w:rPr>
                <w:rFonts w:cs="Arial"/>
                <w:sz w:val="18"/>
                <w:szCs w:val="18"/>
              </w:rPr>
            </w:pPr>
            <w:r>
              <w:rPr>
                <w:rFonts w:cs="Arial"/>
                <w:sz w:val="18"/>
                <w:szCs w:val="18"/>
              </w:rPr>
              <w:t xml:space="preserve"> m</w:t>
            </w:r>
          </w:p>
        </w:tc>
      </w:tr>
      <w:tr w:rsidR="00B8718F" w14:paraId="430D37A8" w14:textId="77777777">
        <w:trPr>
          <w:jc w:val="center"/>
        </w:trPr>
        <w:tc>
          <w:tcPr>
            <w:tcW w:w="3343" w:type="dxa"/>
            <w:shd w:val="clear" w:color="auto" w:fill="auto"/>
          </w:tcPr>
          <w:p w14:paraId="775F6C07"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2C03710" w14:textId="77777777" w:rsidR="00B8718F" w:rsidRDefault="009F11CC">
            <w:pPr>
              <w:rPr>
                <w:rFonts w:cs="Arial"/>
                <w:sz w:val="18"/>
                <w:szCs w:val="18"/>
              </w:rPr>
            </w:pPr>
            <w:r>
              <w:rPr>
                <w:rFonts w:cs="Arial"/>
                <w:sz w:val="18"/>
                <w:szCs w:val="18"/>
              </w:rPr>
              <w:t xml:space="preserve"> m</w:t>
            </w:r>
          </w:p>
        </w:tc>
      </w:tr>
      <w:tr w:rsidR="00B8718F" w14:paraId="22FA50D4" w14:textId="77777777">
        <w:trPr>
          <w:jc w:val="center"/>
        </w:trPr>
        <w:tc>
          <w:tcPr>
            <w:tcW w:w="3343" w:type="dxa"/>
            <w:shd w:val="clear" w:color="auto" w:fill="auto"/>
          </w:tcPr>
          <w:p w14:paraId="6D1CEF83"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A1D595F" w14:textId="77777777" w:rsidR="00B8718F" w:rsidRDefault="009F11CC">
            <w:pPr>
              <w:rPr>
                <w:rFonts w:cs="Arial"/>
                <w:sz w:val="18"/>
                <w:szCs w:val="18"/>
              </w:rPr>
            </w:pPr>
            <w:r>
              <w:rPr>
                <w:rFonts w:cs="Arial"/>
                <w:sz w:val="18"/>
                <w:szCs w:val="18"/>
              </w:rPr>
              <w:t xml:space="preserve"> m</w:t>
            </w:r>
          </w:p>
        </w:tc>
      </w:tr>
      <w:tr w:rsidR="00B8718F" w14:paraId="4C96BCA7" w14:textId="77777777">
        <w:trPr>
          <w:jc w:val="center"/>
        </w:trPr>
        <w:tc>
          <w:tcPr>
            <w:tcW w:w="3343" w:type="dxa"/>
            <w:shd w:val="clear" w:color="auto" w:fill="auto"/>
          </w:tcPr>
          <w:p w14:paraId="77FB9B25" w14:textId="77777777" w:rsidR="00B8718F" w:rsidRDefault="009F11CC">
            <w:pPr>
              <w:rPr>
                <w:rFonts w:cs="Arial"/>
                <w:sz w:val="18"/>
                <w:szCs w:val="18"/>
              </w:rPr>
            </w:pPr>
            <w:r>
              <w:rPr>
                <w:rFonts w:cs="Arial"/>
                <w:sz w:val="18"/>
                <w:szCs w:val="18"/>
              </w:rPr>
              <w:t>Commentaire</w:t>
            </w:r>
          </w:p>
        </w:tc>
        <w:tc>
          <w:tcPr>
            <w:tcW w:w="7027" w:type="dxa"/>
          </w:tcPr>
          <w:p w14:paraId="0A7BDB3F" w14:textId="77777777" w:rsidR="00B8718F" w:rsidRDefault="009F11CC">
            <w:pPr>
              <w:rPr>
                <w:rFonts w:cs="Arial"/>
                <w:sz w:val="18"/>
                <w:szCs w:val="18"/>
              </w:rPr>
            </w:pPr>
            <w:r>
              <w:rPr>
                <w:rFonts w:cs="Arial"/>
                <w:sz w:val="18"/>
                <w:szCs w:val="18"/>
              </w:rPr>
              <w:t/>
            </w:r>
          </w:p>
        </w:tc>
      </w:tr>
      <w:tr w:rsidR="00B8718F" w14:paraId="5BDD3D8F" w14:textId="77777777">
        <w:trPr>
          <w:jc w:val="center"/>
        </w:trPr>
        <w:tc>
          <w:tcPr>
            <w:tcW w:w="3343" w:type="dxa"/>
            <w:shd w:val="clear" w:color="auto" w:fill="auto"/>
          </w:tcPr>
          <w:p w14:paraId="4DD0386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48115456" w14:textId="77777777" w:rsidR="00B8718F" w:rsidRDefault="009F11CC">
            <w:pPr>
              <w:rPr>
                <w:rFonts w:cs="Arial"/>
                <w:sz w:val="18"/>
                <w:szCs w:val="18"/>
              </w:rPr>
            </w:pPr>
            <w:r>
              <w:rPr>
                <w:rFonts w:cs="Arial"/>
                <w:sz w:val="18"/>
                <w:szCs w:val="18"/>
              </w:rPr>
              <w:t>Non</w:t>
            </w:r>
          </w:p>
        </w:tc>
      </w:tr>
      <w:tr w:rsidR="00B8718F" w14:paraId="01A42F7C" w14:textId="77777777">
        <w:trPr>
          <w:jc w:val="center"/>
        </w:trPr>
        <w:tc>
          <w:tcPr>
            <w:tcW w:w="3343" w:type="dxa"/>
            <w:shd w:val="clear" w:color="auto" w:fill="auto"/>
          </w:tcPr>
          <w:p w14:paraId="518F7A61" w14:textId="77777777" w:rsidR="00B8718F" w:rsidRDefault="009F11CC">
            <w:pPr>
              <w:rPr>
                <w:rFonts w:cs="Arial"/>
                <w:sz w:val="18"/>
                <w:szCs w:val="18"/>
              </w:rPr>
            </w:pPr>
            <w:r>
              <w:rPr>
                <w:rFonts w:cs="Arial"/>
                <w:sz w:val="18"/>
                <w:szCs w:val="18"/>
              </w:rPr>
              <w:t>Si oui, préciser :</w:t>
            </w:r>
          </w:p>
        </w:tc>
        <w:tc>
          <w:tcPr>
            <w:tcW w:w="7027" w:type="dxa"/>
          </w:tcPr>
          <w:p w14:paraId="0856B681" w14:textId="77777777" w:rsidR="00B8718F" w:rsidRDefault="009F11CC">
            <w:pPr>
              <w:rPr>
                <w:rFonts w:cs="Arial"/>
                <w:sz w:val="18"/>
                <w:szCs w:val="18"/>
              </w:rPr>
            </w:pPr>
            <w:r>
              <w:rPr>
                <w:rFonts w:cs="Arial"/>
                <w:sz w:val="18"/>
                <w:szCs w:val="18"/>
              </w:rPr>
              <w:t/>
            </w:r>
          </w:p>
        </w:tc>
      </w:tr>
      <w:tr w:rsidR="00B8718F" w14:paraId="5C693789" w14:textId="77777777">
        <w:trPr>
          <w:jc w:val="center"/>
        </w:trPr>
        <w:tc>
          <w:tcPr>
            <w:tcW w:w="3343" w:type="dxa"/>
            <w:shd w:val="clear" w:color="auto" w:fill="auto"/>
          </w:tcPr>
          <w:p w14:paraId="12BE5981"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B7C58D9" w14:textId="77777777" w:rsidR="00B8718F" w:rsidRDefault="009F11CC">
            <w:pPr>
              <w:rPr>
                <w:rFonts w:cs="Arial"/>
                <w:sz w:val="18"/>
                <w:szCs w:val="18"/>
              </w:rPr>
            </w:pPr>
            <w:r>
              <w:rPr>
                <w:rFonts w:cs="Arial"/>
                <w:sz w:val="18"/>
                <w:szCs w:val="18"/>
              </w:rPr>
              <w:t>?</w:t>
            </w:r>
          </w:p>
        </w:tc>
      </w:tr>
      <w:tr w:rsidR="00B8718F" w14:paraId="555B90A5" w14:textId="77777777">
        <w:trPr>
          <w:jc w:val="center"/>
        </w:trPr>
        <w:tc>
          <w:tcPr>
            <w:tcW w:w="3343" w:type="dxa"/>
            <w:shd w:val="clear" w:color="auto" w:fill="auto"/>
          </w:tcPr>
          <w:p w14:paraId="4B847BE4"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491B863" w14:textId="77777777" w:rsidR="00B8718F" w:rsidRDefault="009F11CC">
            <w:pPr>
              <w:rPr>
                <w:rFonts w:cs="Arial"/>
                <w:sz w:val="18"/>
                <w:szCs w:val="18"/>
              </w:rPr>
            </w:pPr>
            <w:r>
              <w:rPr>
                <w:rFonts w:cs="Arial"/>
                <w:sz w:val="18"/>
                <w:szCs w:val="18"/>
              </w:rPr>
              <w:t>?</w:t>
            </w:r>
          </w:p>
        </w:tc>
      </w:tr>
      <w:tr w:rsidR="00B8718F" w14:paraId="1F06CA8D" w14:textId="77777777">
        <w:trPr>
          <w:jc w:val="center"/>
        </w:trPr>
        <w:tc>
          <w:tcPr>
            <w:tcW w:w="3343" w:type="dxa"/>
            <w:shd w:val="clear" w:color="auto" w:fill="auto"/>
          </w:tcPr>
          <w:p w14:paraId="34C8EC40"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B1C12B8" w14:textId="77777777" w:rsidR="00B8718F" w:rsidRDefault="009F11CC">
            <w:pPr>
              <w:rPr>
                <w:rFonts w:cs="Arial"/>
                <w:sz w:val="18"/>
                <w:szCs w:val="18"/>
              </w:rPr>
            </w:pPr>
            <w:r>
              <w:rPr>
                <w:rFonts w:cs="Arial"/>
                <w:sz w:val="18"/>
                <w:szCs w:val="18"/>
              </w:rPr>
              <w:t>?</w:t>
            </w:r>
          </w:p>
        </w:tc>
      </w:tr>
      <w:tr w:rsidR="00B8718F" w14:paraId="51B13D97" w14:textId="77777777">
        <w:trPr>
          <w:jc w:val="center"/>
        </w:trPr>
        <w:tc>
          <w:tcPr>
            <w:tcW w:w="3343" w:type="dxa"/>
            <w:shd w:val="clear" w:color="auto" w:fill="auto"/>
          </w:tcPr>
          <w:p w14:paraId="6295556B"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15FACDAE" w14:textId="77777777" w:rsidR="00B8718F" w:rsidRDefault="009F11CC">
            <w:pPr>
              <w:rPr>
                <w:rFonts w:cs="Arial"/>
                <w:sz w:val="18"/>
                <w:szCs w:val="18"/>
              </w:rPr>
            </w:pPr>
            <w:r>
              <w:rPr>
                <w:rFonts w:cs="Arial"/>
                <w:sz w:val="18"/>
                <w:szCs w:val="18"/>
              </w:rPr>
              <w:t>?</w:t>
            </w:r>
          </w:p>
        </w:tc>
      </w:tr>
      <w:tr w:rsidR="00B8718F" w14:paraId="4A1C345C" w14:textId="77777777">
        <w:trPr>
          <w:jc w:val="center"/>
        </w:trPr>
        <w:tc>
          <w:tcPr>
            <w:tcW w:w="3343" w:type="dxa"/>
            <w:shd w:val="clear" w:color="auto" w:fill="auto"/>
          </w:tcPr>
          <w:p w14:paraId="1794983C"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3AA0E920" w14:textId="77777777" w:rsidR="00B8718F" w:rsidRDefault="009F11CC">
            <w:pPr>
              <w:rPr>
                <w:rFonts w:cs="Arial"/>
                <w:sz w:val="18"/>
                <w:szCs w:val="18"/>
              </w:rPr>
            </w:pPr>
            <w:r>
              <w:rPr>
                <w:rFonts w:cs="Arial"/>
                <w:sz w:val="18"/>
                <w:szCs w:val="18"/>
              </w:rPr>
              <w:t>?</w:t>
            </w:r>
          </w:p>
        </w:tc>
      </w:tr>
      <w:tr w:rsidR="00B8718F" w14:paraId="0A0C3C1D" w14:textId="77777777">
        <w:trPr>
          <w:jc w:val="center"/>
        </w:trPr>
        <w:tc>
          <w:tcPr>
            <w:tcW w:w="3343" w:type="dxa"/>
            <w:shd w:val="clear" w:color="auto" w:fill="auto"/>
          </w:tcPr>
          <w:p w14:paraId="37118F0E" w14:textId="77777777" w:rsidR="00B8718F" w:rsidRDefault="009F11CC">
            <w:pPr>
              <w:rPr>
                <w:rFonts w:cs="Arial"/>
                <w:sz w:val="18"/>
                <w:szCs w:val="18"/>
              </w:rPr>
            </w:pPr>
            <w:r>
              <w:rPr>
                <w:rFonts w:cs="Arial"/>
                <w:sz w:val="18"/>
                <w:szCs w:val="18"/>
              </w:rPr>
              <w:t>Si oui, pourquoi et quels sont les risques ?</w:t>
            </w:r>
          </w:p>
        </w:tc>
        <w:tc>
          <w:tcPr>
            <w:tcW w:w="7027" w:type="dxa"/>
          </w:tcPr>
          <w:p w14:paraId="37A9D990" w14:textId="77777777" w:rsidR="00B8718F" w:rsidRDefault="009F11CC">
            <w:pPr>
              <w:rPr>
                <w:rFonts w:cs="Arial"/>
                <w:sz w:val="18"/>
                <w:szCs w:val="18"/>
              </w:rPr>
            </w:pPr>
            <w:r>
              <w:rPr>
                <w:rFonts w:cs="Arial"/>
                <w:sz w:val="18"/>
                <w:szCs w:val="18"/>
              </w:rPr>
              <w:t/>
            </w:r>
          </w:p>
        </w:tc>
      </w:tr>
      <w:tr w:rsidR="00B8718F" w14:paraId="1400904E" w14:textId="77777777">
        <w:trPr>
          <w:jc w:val="center"/>
        </w:trPr>
        <w:tc>
          <w:tcPr>
            <w:tcW w:w="3343" w:type="dxa"/>
            <w:shd w:val="clear" w:color="auto" w:fill="auto"/>
          </w:tcPr>
          <w:p w14:paraId="126ACD00"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26472FC6" w14:textId="77777777" w:rsidR="00B8718F" w:rsidRDefault="009F11CC">
            <w:pPr>
              <w:rPr>
                <w:rFonts w:cs="Arial"/>
                <w:sz w:val="18"/>
                <w:szCs w:val="18"/>
              </w:rPr>
            </w:pPr>
            <w:r>
              <w:rPr>
                <w:rFonts w:cs="Arial"/>
                <w:sz w:val="18"/>
                <w:szCs w:val="18"/>
              </w:rPr>
              <w:t>?</w:t>
            </w:r>
          </w:p>
        </w:tc>
      </w:tr>
      <w:tr w:rsidR="00B8718F" w14:paraId="6339B889" w14:textId="77777777">
        <w:trPr>
          <w:jc w:val="center"/>
        </w:trPr>
        <w:tc>
          <w:tcPr>
            <w:tcW w:w="3343" w:type="dxa"/>
            <w:shd w:val="clear" w:color="auto" w:fill="auto"/>
          </w:tcPr>
          <w:p w14:paraId="74ACBDD9" w14:textId="77777777" w:rsidR="00B8718F" w:rsidRDefault="009F11CC">
            <w:pPr>
              <w:rPr>
                <w:rFonts w:cs="Arial"/>
                <w:sz w:val="18"/>
                <w:szCs w:val="18"/>
              </w:rPr>
            </w:pPr>
            <w:r>
              <w:rPr>
                <w:rFonts w:cs="Arial"/>
                <w:sz w:val="18"/>
                <w:szCs w:val="18"/>
              </w:rPr>
              <w:t>Si oui, préciser (colmatage, stagnation d'eau en surface,...)</w:t>
            </w:r>
            <w:r>
              <w:rPr>
                <w:rFonts w:cs="Arial"/>
                <w:sz w:val="18"/>
                <w:szCs w:val="18"/>
              </w:rPr>
              <w:lastRenderedPageBreak/>
              <w:t/>
            </w:r>
          </w:p>
        </w:tc>
        <w:tc>
          <w:tcPr>
            <w:tcW w:w="7027" w:type="dxa"/>
          </w:tcPr>
          <w:p w14:paraId="21FC32E8" w14:textId="77777777" w:rsidR="00B8718F" w:rsidRDefault="009F11CC">
            <w:pPr>
              <w:rPr>
                <w:rFonts w:cs="Arial"/>
                <w:sz w:val="18"/>
                <w:szCs w:val="18"/>
              </w:rPr>
            </w:pPr>
            <w:r>
              <w:rPr>
                <w:rFonts w:cs="Arial"/>
                <w:sz w:val="18"/>
                <w:szCs w:val="18"/>
              </w:rPr>
              <w:lastRenderedPageBreak/>
              <w:t/>
            </w:r>
          </w:p>
        </w:tc>
      </w:tr>
      <w:tr w:rsidR="00B8718F" w14:paraId="22323208" w14:textId="77777777">
        <w:trPr>
          <w:jc w:val="center"/>
        </w:trPr>
        <w:tc>
          <w:tcPr>
            <w:tcW w:w="3343" w:type="dxa"/>
            <w:shd w:val="clear" w:color="auto" w:fill="auto"/>
          </w:tcPr>
          <w:p w14:paraId="386939D6" w14:textId="77777777" w:rsidR="00B8718F" w:rsidRDefault="009F11CC">
            <w:pPr>
              <w:rPr>
                <w:rFonts w:cs="Arial"/>
                <w:sz w:val="18"/>
                <w:szCs w:val="18"/>
              </w:rPr>
            </w:pPr>
            <w:r>
              <w:rPr>
                <w:rFonts w:cs="Arial"/>
                <w:sz w:val="18"/>
                <w:szCs w:val="18"/>
              </w:rPr>
              <w:t>Commentaires sur le traitement</w:t>
            </w:r>
          </w:p>
        </w:tc>
        <w:tc>
          <w:tcPr>
            <w:tcW w:w="7027" w:type="dxa"/>
          </w:tcPr>
          <w:p w14:paraId="37DC86F5" w14:textId="77777777" w:rsidR="00B8718F" w:rsidRDefault="009F11CC">
            <w:pPr>
              <w:rPr>
                <w:rFonts w:cs="Arial"/>
                <w:sz w:val="18"/>
                <w:szCs w:val="18"/>
              </w:rPr>
            </w:pPr>
            <w:r>
              <w:rPr>
                <w:rFonts w:cs="Arial"/>
                <w:sz w:val="18"/>
                <w:szCs w:val="18"/>
              </w:rPr>
              <w:t>non accessible et non visible lors du contrôle</w:t>
            </w:r>
          </w:p>
        </w:tc>
      </w:tr>
    </w:tbl>
    <w:p w14:paraId="7AB62C41"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xml:space="preserve">Eaux vannes traitées et eaux ménagères brutes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puisard non accessible lors du contrôle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Commentaire(s) : mettre en place un bac dégraisseur pour l'ensemble des eaux ménagères</w:t>
              <w:br/>
              <w:t>déconnecter les eaux pluviales des eaux usées</w:t>
              <w:br/>
              <w:t>s'assurer du bon fonctionnement du plateau bactérien</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Commentaire(s) : Fosse à vidanger avant la vente de l'habitation</w:t>
              <w:br/>
              <w:t>ventilation à modifier</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bactériens percolateurs ou plateau absorbant ne sont plus autorisés comme dispositif de traitement depuis l’arrêté du 6 mai 1996 ﬁxant les prescriptions techniques applicables aux systèmes d’assainissement non collectif.</w:t>
              <w:br/>
              <w:t>Créer un système de traitement pour l'ensemble des eaux usées</w:t>
              <w:br/>
              <w:t>Mettre en place un prétraitement pour les eaux ménagères</w:t>
              <w:br/>
              <w:t>Séparer les eaux pluviales des eaux usées</w:t>
              <w:br/>
              <w:t>Rendre accessible les regards des ouvrages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