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3713-16850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LES LEMAINS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ZS 27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BREZAULT Fabrice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LES LEMAINS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début de saturation du système, présence d'eau et de matières dans le regard de bouclage</w:t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 le jour du contrôle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Ajouter un extracteur statique</w:t>
              <w:br/>
              <w:t>Lors du contrôle, nous avons constaté la présence d'eau et de matière dans le regard de bouclage du filtre à sable, cela peut signifier un début de saturation du filtre à sable dû à la présence d'argile en fond de filtre.</w:t>
              <w:br/>
              <w:t>Après le nettoyage des regards, il faudra surveiller l'évolution du fonctionnement du filtre et en cas de dysfonctionnement total, prévoir une réhabilitation du filtre à sable.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