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8951-15685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Grands Buissons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520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BONNIN Audrey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Grands Buissons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4</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1065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Non</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15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3</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45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45 ml</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Non</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Non</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Oui</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Non</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seulement une tranchée sur les trois est sollicitée, les deux tranchées latérales sont plus hautes que la tranchée centrale</w:t>
            </w:r>
          </w:p>
        </w:tc>
      </w:tr>
    </w:tbl>
    <w:p w14:paraId="6D17271E" w14:textId="77777777" w:rsidR="00B8718F" w:rsidRDefault="009F11CC">
      <w:pPr>
        <w:rPr>
          <w:sz w:val="18"/>
        </w:rPr>
      </w:pPr>
      <w:r>
        <w:rPr>
          <w:sz w:val="18"/>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Non</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Oui</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lors du contrôle nous avons constaté une stagnation d'eau dans le regard qui pourrait signifier un début de saturation des tranchées.</w:t>
            </w:r>
          </w:p>
        </w:tc>
      </w:tr>
    </w:tbl>
    <w:p w14:paraId="62427354"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ne présentant pas de non conformité</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 Toutefois il faudra surveiller l'évolution des tranchées d'épandage compte tenu de la proximité du cerisier et la présence d'eau dans le bouclage.</w:t>
              <w:br/>
              <w:t>Ajouter un extracteur statique à la ventilation de la fosse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