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59-1762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09/05/2017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2003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70  RTE D ANNAY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ZA 123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DEPOORTER Adèle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70      RTE D ANNAY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0B5B76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64A2B23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 avec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1A1C74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6598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02884A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0883DF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672C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F180B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89952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16D0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74493C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273128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F408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8FC03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2A19DF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CFDB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FFEF2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5EFF4C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3585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795967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21014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8E06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09E391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86D4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201F0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13539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CB0094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4BA6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454AAB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4E8B9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6030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4D26CF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D706DC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296C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033683F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D053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30FC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B4A55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815F3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25D1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1D9B5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53B28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1C1E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7AC4A6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501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7DF4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60109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25A1FB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3587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0496BB7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FE999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30A3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2EF31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15A08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AC7C9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173397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6602C0D9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scellé lors du contrôle</w:t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est muni d'une pompe de relevage et reçoit les eaux prétraitées ainsi que les eaux pluviales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Supprimer les eaux pluviales des eaux usées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Séparer les eaux pluviales des eaux usées</w:t>
              <w:br/>
              <w:t xml:space="preserve">Le SPANC n’a pas observé de problème engendrant la non-conformité de l’installation le jour de la </w:t>
              <w:br/>
              <w:t xml:space="preserve">visite et en l’état actuel de l’utilisation (2 habitants) de l’installation d’assainissement. </w:t>
              <w:br/>
              <w:t>Toutefois, les caractéristiques du traitement secondaire ne sont pas identifiables.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