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956LLV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21/07/2020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1 997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22  Rue des Sables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58 400 MESVES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ZP 123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CHEVALIER Jacky Succession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Mme MICHOT Patricia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185      Chemin de Collias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30 700 Flaux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2 210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Plan, arrêté du maire pris lors des travaux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 avec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ventilation primaire 100mm</w:t>
              <w:br/>
              <w:t>ventilation secondaire faite par la goutièrre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Collecte également les eaux pluviales</w:t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reçoit également les eaux pluviales</w:t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Quel que soit son dimensionnement, une tranchée d’épandage unique est toujours considérée comme </w:t>
              <w:br/>
              <w:t>signiﬁcativement sous-dimensionnée par la réglementation. Il faut un minimum de deux tranchées d’épandage pour assurer un traitement secondaire et une inﬁltration des eaux usées traitées.</w:t>
              <w:br/>
              <w:t>Créer une ventilation secondaire pour la fosse</w:t>
              <w:br/>
              <w:t>Rendre accessible les regards des ouvrages</w:t>
              <w:br/>
              <w:t>Séparer les eaux pluviales des eaux usées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