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1813LV</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08/01/2020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18  Rue Blanche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GARCHY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ZK 49</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CORDE Alain</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3      rue de Gerigny </w:t>
            </w:r>
            <w:r>
              <w:rPr>
                <w:sz w:val="18"/>
                <w:szCs w:val="18"/>
              </w:rPr>
              <w:t/>
            </w:r>
          </w:p>
          <w:p>
            <w:pPr>
              <w:rPr>
                <w:rFonts w:asciiTheme="minorHAnsi" w:hAnsiTheme="minorHAnsi" w:cstheme="minorHAnsi"/>
                <w:szCs w:val="20"/>
              </w:rPr>
            </w:pPr>
            <w:r>
              <w:rPr>
                <w:rFonts w:asciiTheme="minorHAnsi" w:hAnsiTheme="minorHAnsi" w:cstheme="minorHAnsi"/>
                <w:szCs w:val="20"/>
              </w:rPr>
              <w:t>58400 LA CHARITE SUR LOIRE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1955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une partie des eaux pluviales</w:t>
            </w:r>
          </w:p>
        </w:tc>
      </w:tr>
    </w:tbl>
    <w:p>
      <w:pPr>
        <w:rPr>
          <w:sz w:val="18"/>
        </w:rPr>
      </w:pPr>
      <w:r>
        <w:rPr>
          <w:sz w:val="18"/>
        </w:rPr>
        <w:t/>
      </w:r>
    </w:p>
    <w:p>
      <w:pPr>
        <w:rPr>
          <w:rFonts w:cs="Arial"/>
          <w:sz w:val="18"/>
          <w:szCs w:val="18"/>
        </w:rPr>
      </w:pPr>
      <w:r>
        <w:rPr>
          <w:rFonts w:cs="Arial"/>
          <w:sz w:val="18"/>
          <w:szCs w:val="18"/>
        </w:rPr>
        <w:t/>
      </w:r>
    </w:p>
    <w:p>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3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 ET SALLE DE BAIN</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Fosse toutes eaux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Type</w:t>
            </w:r>
          </w:p>
        </w:tc>
        <w:tc>
          <w:tcPr>
            <w:tcW w:w="7027" w:type="dxa"/>
          </w:tcPr>
          <w:p>
            <w:pPr>
              <w:rPr>
                <w:sz w:val="18"/>
              </w:rPr>
            </w:pPr>
            <w:r>
              <w:rPr>
                <w:sz w:val="18"/>
              </w:rPr>
              <w:t>Séparé de la fosse toutes eaux</w:t>
            </w:r>
          </w:p>
        </w:tc>
      </w:tr>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250</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Pouzzolane</w:t>
            </w:r>
          </w:p>
        </w:tc>
      </w:tr>
      <w:tr>
        <w:trPr>
          <w:jc w:val="center"/>
        </w:trPr>
        <w:tc>
          <w:tcPr>
            <w:tcW w:w="3343" w:type="dxa"/>
            <w:shd w:val="clear" w:color="auto" w:fill="auto"/>
          </w:tcPr>
          <w:p>
            <w:pPr>
              <w:rPr>
                <w:sz w:val="18"/>
              </w:rPr>
            </w:pPr>
            <w:r>
              <w:rPr>
                <w:sz w:val="18"/>
              </w:rPr>
              <w:t>Indépendant de la fosse</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le regard de collecte semble être raccordé directement au bac décolloideur sans passer par la fosse</w:t>
            </w:r>
          </w:p>
        </w:tc>
      </w:tr>
      <w:tr>
        <w:trPr>
          <w:jc w:val="center"/>
        </w:trPr>
        <w:tc>
          <w:tcPr>
            <w:tcW w:w="3343" w:type="dxa"/>
            <w:shd w:val="clear" w:color="auto" w:fill="auto"/>
          </w:tcPr>
          <w:p>
            <w:pPr>
              <w:rPr>
                <w:sz w:val="18"/>
              </w:rPr>
            </w:pPr>
            <w:r>
              <w:rPr>
                <w:sz w:val="18"/>
              </w:rPr>
              <w:t>Tampon du préfiltre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Dégradations constatées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lastRenderedPageBreak/>
              <w:t>Si oui, préciser :</w:t>
            </w:r>
          </w:p>
        </w:tc>
        <w:tc>
          <w:tcPr>
            <w:tcW w:w="7027" w:type="dxa"/>
          </w:tcPr>
          <w:p>
            <w:pPr>
              <w:rPr>
                <w:sz w:val="18"/>
              </w:rPr>
            </w:pPr>
            <w:r>
              <w:rPr>
                <w:sz w:val="18"/>
              </w:rPr>
              <w:t>DEBUT DE CORROSION</w:t>
            </w:r>
          </w:p>
        </w:tc>
      </w:tr>
      <w:tr>
        <w:trPr>
          <w:jc w:val="center"/>
        </w:trPr>
        <w:tc>
          <w:tcPr>
            <w:tcW w:w="3343" w:type="dxa"/>
            <w:shd w:val="clear" w:color="auto" w:fill="auto"/>
          </w:tcPr>
          <w:p>
            <w:pPr>
              <w:rPr>
                <w:sz w:val="18"/>
              </w:rPr>
            </w:pPr>
            <w:r>
              <w:rPr>
                <w:sz w:val="18"/>
              </w:rPr>
              <w:t>Préfiltre à matériau filtrant : présence du matériau de remplissage adapté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Colmatage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au sein du préfiltre correct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Regard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Commentaires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Tranchée(s) d’épandage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Longueur d'une tranchée en m / ml</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Largeur d'une tranchée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Surface en m²</w:t>
            </w:r>
          </w:p>
        </w:tc>
        <w:tc>
          <w:tcPr>
            <w:tcW w:w="7027" w:type="dxa"/>
          </w:tcPr>
          <w:p>
            <w:pPr>
              <w:rPr>
                <w:rFonts w:cs="Arial"/>
                <w:sz w:val="18"/>
                <w:szCs w:val="18"/>
              </w:rPr>
            </w:pPr>
            <w:r>
              <w:rPr>
                <w:rFonts w:cs="Arial"/>
                <w:sz w:val="18"/>
                <w:szCs w:val="18"/>
              </w:rPr>
              <w:t xml:space="preserve"> m²</w:t>
            </w:r>
          </w:p>
        </w:tc>
      </w:tr>
      <w:tr>
        <w:trPr>
          <w:jc w:val="center"/>
        </w:trPr>
        <w:tc>
          <w:tcPr>
            <w:tcW w:w="3343" w:type="dxa"/>
            <w:shd w:val="clear" w:color="auto" w:fill="auto"/>
          </w:tcPr>
          <w:p>
            <w:pPr>
              <w:rPr>
                <w:rFonts w:cs="Arial"/>
                <w:sz w:val="18"/>
                <w:szCs w:val="18"/>
              </w:rPr>
            </w:pPr>
            <w:r>
              <w:rPr>
                <w:rFonts w:cs="Arial"/>
                <w:sz w:val="18"/>
                <w:szCs w:val="18"/>
              </w:rPr>
              <w:t>Profondeur d'une tranchée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Nombre de tranchées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Linéaire total en ml</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du traitement est-il connu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5 m de l'habitation</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 tout arbre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lastRenderedPageBreak/>
              <w:t>Le traitement est-il positionné à au moins 3 m des limites de la parcelle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35 m d'un captage utilisé pour la consommation humaine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Est-ce que l'aménagement du terrain gêne le fonctionnement de la filière de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pourquoi et quels sont les risques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Dysfonctionnements observés au niveau du traitement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(colmatage, stagnation d'eau en surface,...)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traitement</w:t>
            </w:r>
          </w:p>
        </w:tc>
        <w:tc>
          <w:tcPr>
            <w:tcW w:w="7027" w:type="dxa"/>
          </w:tcPr>
          <w:p>
            <w:pPr>
              <w:rPr>
                <w:rFonts w:cs="Arial"/>
                <w:sz w:val="18"/>
                <w:szCs w:val="18"/>
              </w:rPr>
            </w:pPr>
            <w:r>
              <w:rPr>
                <w:rFonts w:cs="Arial"/>
                <w:sz w:val="18"/>
                <w:szCs w:val="18"/>
              </w:rPr>
              <w:t>proximité des arbres, présence de racines</w:t>
            </w:r>
          </w:p>
        </w:tc>
      </w:tr>
    </w:tbl>
    <w:p>
      <w:pPr>
        <w:rPr>
          <w:sz w:val="18"/>
          <w:lang w:val="en-US"/>
        </w:rPr>
      </w:pPr>
      <w:r>
        <w:rPr>
          <w:sz w:val="18"/>
          <w:lang w:val="en-US"/>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répartition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L'écoulement des effluents est-il correct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Bonne équirépartition des effluents ? (Vérification possible par mise en eaux du regard)</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r>
              <w:rPr>
                <w:sz w:val="18"/>
              </w:rPr>
              <w:lastRenderedPageBreak/>
              <w:t/>
            </w:r>
          </w:p>
        </w:tc>
        <w:tc>
          <w:tcPr>
            <w:tcW w:w="7027" w:type="dxa"/>
          </w:tcPr>
          <w:p>
            <w:pPr>
              <w:rPr>
                <w:sz w:val="18"/>
              </w:rPr>
            </w:pPr>
            <w:r>
              <w:rPr>
                <w:sz w:val="18"/>
              </w:rPr>
              <w:lastRenderedPageBreak/>
              <w:t/>
            </w:r>
          </w:p>
        </w:tc>
      </w:tr>
    </w:tbl>
    <w:p>
      <w:pPr>
        <w:rPr>
          <w:sz w:val="18"/>
        </w:rPr>
      </w:pPr>
      <w:r>
        <w:rPr>
          <w:sz w:val="18"/>
        </w:rPr>
        <w:lastRenderedPageBreak/>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Mettre en place un prétraitement pour les eaux ménagères ou raccorder les eaux de cuisine à la fosse toutes eaux</w:t>
              <w:br/>
              <w:t>Séparer les eaux pluviales des eaux usées</w:t>
              <w:br/>
              <w:t>Ajouter des parois séparatives et remplacer le matériau filtrant du bac décolloideur</w:t>
              <w:br/>
              <w:t>Créer une ventilation secondaire pour la fosse</w:t>
              <w:br/>
              <w:t>Le SPANC n’a pas observé de problème de fonctionnement le jour de la visite et en l’état actuel de l’utilisation de l’installation d’assainissement. Toutefois, les caractéristiques du traitement secondaire ne sont pas identifiables.</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