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41lLV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17  Rue Noire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2280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RIBEYRON Jacques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Clerget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37 ter     Avenue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La Charité-sur-Loire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1958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2A4F5B52" w14:textId="77777777" w:rsidR="00B8718F" w:rsidRDefault="009F11CC">
      <w:pPr>
        <w:rPr>
          <w:sz w:val="18"/>
        </w:rPr>
      </w:pPr>
      <w:r>
        <w:rPr>
          <w:sz w:val="18"/>
        </w:rPr>
        <w:t/>
      </w:r>
    </w:p>
    <w:p w14:paraId="416F31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contrôle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8B9EE1D" w14:textId="77777777">
        <w:trPr>
          <w:jc w:val="center"/>
        </w:trPr>
        <w:tc>
          <w:tcPr>
            <w:tcW w:w="3343" w:type="dxa"/>
            <w:shd w:val="clear" w:color="auto" w:fill="auto"/>
          </w:tcPr>
          <w:p w14:paraId="61D0BDD7" w14:textId="77777777" w:rsidR="00B8718F" w:rsidRDefault="009F11CC">
            <w:pPr>
              <w:rPr>
                <w:sz w:val="18"/>
              </w:rPr>
            </w:pPr>
            <w:r>
              <w:rPr>
                <w:sz w:val="18"/>
              </w:rPr>
              <w:t>Le regard est-il accessible ?</w:t>
            </w:r>
          </w:p>
        </w:tc>
        <w:tc>
          <w:tcPr>
            <w:tcW w:w="7027" w:type="dxa"/>
          </w:tcPr>
          <w:p w14:paraId="200FC9B5" w14:textId="77777777" w:rsidR="00B8718F" w:rsidRDefault="009F11CC">
            <w:pPr>
              <w:rPr>
                <w:sz w:val="18"/>
              </w:rPr>
            </w:pPr>
            <w:r>
              <w:rPr>
                <w:sz w:val="18"/>
              </w:rPr>
              <w:t>Oui</w:t>
            </w:r>
          </w:p>
        </w:tc>
      </w:tr>
      <w:tr w:rsidR="00B8718F" w14:paraId="426907F6" w14:textId="77777777">
        <w:trPr>
          <w:jc w:val="center"/>
        </w:trPr>
        <w:tc>
          <w:tcPr>
            <w:tcW w:w="3343" w:type="dxa"/>
            <w:shd w:val="clear" w:color="auto" w:fill="auto"/>
          </w:tcPr>
          <w:p w14:paraId="2FF07B58" w14:textId="77777777" w:rsidR="00B8718F" w:rsidRDefault="009F11CC">
            <w:pPr>
              <w:rPr>
                <w:sz w:val="18"/>
              </w:rPr>
            </w:pPr>
            <w:r>
              <w:rPr>
                <w:sz w:val="18"/>
              </w:rPr>
              <w:t>Présente-t-il des signes d'altération (affaissement, corrosion, fissure, déformation...) ?</w:t>
            </w:r>
          </w:p>
        </w:tc>
        <w:tc>
          <w:tcPr>
            <w:tcW w:w="7027" w:type="dxa"/>
          </w:tcPr>
          <w:p w14:paraId="37B8AA46" w14:textId="77777777" w:rsidR="00B8718F" w:rsidRDefault="009F11CC">
            <w:pPr>
              <w:rPr>
                <w:sz w:val="18"/>
              </w:rPr>
            </w:pPr>
            <w:r>
              <w:rPr>
                <w:sz w:val="18"/>
              </w:rPr>
              <w:t>Non</w:t>
            </w:r>
          </w:p>
        </w:tc>
      </w:tr>
      <w:tr w:rsidR="00B8718F" w14:paraId="53FB431C" w14:textId="77777777">
        <w:trPr>
          <w:jc w:val="center"/>
        </w:trPr>
        <w:tc>
          <w:tcPr>
            <w:tcW w:w="3343" w:type="dxa"/>
            <w:shd w:val="clear" w:color="auto" w:fill="auto"/>
          </w:tcPr>
          <w:p w14:paraId="52633B9D" w14:textId="77777777" w:rsidR="00B8718F" w:rsidRDefault="009F11CC">
            <w:pPr>
              <w:rPr>
                <w:sz w:val="18"/>
              </w:rPr>
            </w:pPr>
            <w:r>
              <w:rPr>
                <w:sz w:val="18"/>
              </w:rPr>
              <w:t>Le regard est-il affleurant ?</w:t>
            </w:r>
          </w:p>
        </w:tc>
        <w:tc>
          <w:tcPr>
            <w:tcW w:w="7027" w:type="dxa"/>
          </w:tcPr>
          <w:p w14:paraId="43F2C84E" w14:textId="77777777" w:rsidR="00B8718F" w:rsidRDefault="009F11CC">
            <w:pPr>
              <w:rPr>
                <w:sz w:val="18"/>
              </w:rPr>
            </w:pPr>
            <w:r>
              <w:rPr>
                <w:sz w:val="18"/>
              </w:rPr>
              <w:t>Oui</w:t>
            </w:r>
          </w:p>
        </w:tc>
      </w:tr>
      <w:tr w:rsidR="00B8718F" w14:paraId="19BE2C4F" w14:textId="77777777">
        <w:trPr>
          <w:jc w:val="center"/>
        </w:trPr>
        <w:tc>
          <w:tcPr>
            <w:tcW w:w="3343" w:type="dxa"/>
            <w:shd w:val="clear" w:color="auto" w:fill="auto"/>
          </w:tcPr>
          <w:p w14:paraId="694A5CCA" w14:textId="77777777" w:rsidR="00B8718F" w:rsidRDefault="009F11CC">
            <w:pPr>
              <w:rPr>
                <w:sz w:val="18"/>
              </w:rPr>
            </w:pPr>
            <w:r>
              <w:rPr>
                <w:sz w:val="18"/>
              </w:rPr>
              <w:t>Stagnation d'eaux dans le regard ?</w:t>
            </w:r>
          </w:p>
        </w:tc>
        <w:tc>
          <w:tcPr>
            <w:tcW w:w="7027" w:type="dxa"/>
          </w:tcPr>
          <w:p w14:paraId="64D6A67E" w14:textId="77777777" w:rsidR="00B8718F" w:rsidRDefault="009F11CC">
            <w:pPr>
              <w:rPr>
                <w:sz w:val="18"/>
              </w:rPr>
            </w:pPr>
            <w:r>
              <w:rPr>
                <w:sz w:val="18"/>
              </w:rPr>
              <w:t>Oui</w:t>
            </w:r>
          </w:p>
        </w:tc>
      </w:tr>
      <w:tr w:rsidR="00B8718F" w14:paraId="0DD2218D" w14:textId="77777777">
        <w:trPr>
          <w:jc w:val="center"/>
        </w:trPr>
        <w:tc>
          <w:tcPr>
            <w:tcW w:w="3343" w:type="dxa"/>
            <w:shd w:val="clear" w:color="auto" w:fill="auto"/>
          </w:tcPr>
          <w:p w14:paraId="2FB681D5" w14:textId="77777777" w:rsidR="00B8718F" w:rsidRDefault="009F11CC">
            <w:pPr>
              <w:rPr>
                <w:sz w:val="18"/>
              </w:rPr>
            </w:pPr>
            <w:r>
              <w:rPr>
                <w:sz w:val="18"/>
              </w:rPr>
              <w:t>Dépôt de matière en fond de regard ?</w:t>
            </w:r>
          </w:p>
        </w:tc>
        <w:tc>
          <w:tcPr>
            <w:tcW w:w="7027" w:type="dxa"/>
          </w:tcPr>
          <w:p w14:paraId="079F8586" w14:textId="77777777" w:rsidR="00B8718F" w:rsidRDefault="009F11CC">
            <w:pPr>
              <w:rPr>
                <w:sz w:val="18"/>
              </w:rPr>
            </w:pPr>
            <w:r>
              <w:rPr>
                <w:sz w:val="18"/>
              </w:rPr>
              <w:t>Non</w:t>
            </w:r>
          </w:p>
        </w:tc>
      </w:tr>
      <w:tr w:rsidR="00B8718F" w14:paraId="4C4A1017" w14:textId="77777777">
        <w:trPr>
          <w:jc w:val="center"/>
        </w:trPr>
        <w:tc>
          <w:tcPr>
            <w:tcW w:w="3343" w:type="dxa"/>
            <w:shd w:val="clear" w:color="auto" w:fill="auto"/>
          </w:tcPr>
          <w:p w14:paraId="515DD6B8" w14:textId="77777777" w:rsidR="00B8718F" w:rsidRDefault="009F11CC">
            <w:pPr>
              <w:rPr>
                <w:sz w:val="18"/>
              </w:rPr>
            </w:pPr>
            <w:r>
              <w:rPr>
                <w:sz w:val="18"/>
              </w:rPr>
              <w:t>Présence d'odeurs ?</w:t>
            </w:r>
          </w:p>
        </w:tc>
        <w:tc>
          <w:tcPr>
            <w:tcW w:w="7027" w:type="dxa"/>
          </w:tcPr>
          <w:p w14:paraId="1803290A" w14:textId="77777777" w:rsidR="00B8718F" w:rsidRDefault="009F11CC">
            <w:pPr>
              <w:rPr>
                <w:sz w:val="18"/>
              </w:rPr>
            </w:pPr>
            <w:r>
              <w:rPr>
                <w:sz w:val="18"/>
              </w:rPr>
              <w:t>Non</w:t>
            </w:r>
          </w:p>
        </w:tc>
      </w:tr>
      <w:tr w:rsidR="00B8718F" w14:paraId="04A40E74" w14:textId="77777777">
        <w:trPr>
          <w:jc w:val="center"/>
        </w:trPr>
        <w:tc>
          <w:tcPr>
            <w:tcW w:w="3343" w:type="dxa"/>
            <w:shd w:val="clear" w:color="auto" w:fill="auto"/>
          </w:tcPr>
          <w:p w14:paraId="505829AE" w14:textId="77777777" w:rsidR="00B8718F" w:rsidRDefault="009F11CC">
            <w:pPr>
              <w:rPr>
                <w:sz w:val="18"/>
              </w:rPr>
            </w:pPr>
            <w:r>
              <w:rPr>
                <w:sz w:val="18"/>
              </w:rPr>
              <w:t>Commentaire</w:t>
            </w:r>
          </w:p>
        </w:tc>
        <w:tc>
          <w:tcPr>
            <w:tcW w:w="7027" w:type="dxa"/>
          </w:tcPr>
          <w:p w14:paraId="6143E48E" w14:textId="77777777" w:rsidR="00B8718F" w:rsidRDefault="009F11CC">
            <w:pPr>
              <w:rPr>
                <w:sz w:val="18"/>
              </w:rPr>
            </w:pPr>
            <w:r>
              <w:rPr>
                <w:sz w:val="18"/>
              </w:rPr>
              <w:t>Ce regard reçoit les eaux ménagères de la cuisine</w:t>
            </w:r>
          </w:p>
        </w:tc>
      </w:tr>
    </w:tbl>
    <w:p w14:paraId="24CB3D1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