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982LV</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15/01/2021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Rue Hyde de Neuville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58 150 POUILLY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900</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BAUJARD Virginie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      Rue Hyde de Neuville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58 150 POUILLY SUR LOIRE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3</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698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collecte les eaux vannes des toilettes et les eaux ménagères de la salle de bain</w:t>
            </w:r>
          </w:p>
        </w:tc>
      </w:tr>
    </w:tbl>
    <w:p w14:paraId="6BAB5FB4" w14:textId="77777777" w:rsidR="00B8718F" w:rsidRDefault="009F11CC">
      <w:pPr>
        <w:rPr>
          <w:sz w:val="18"/>
        </w:rPr>
      </w:pPr>
      <w:r>
        <w:rPr>
          <w:sz w:val="18"/>
        </w:rPr>
        <w:t/>
      </w:r>
    </w:p>
    <w:p w14:paraId="089B89A3" w14:textId="77777777" w:rsidR="00B8718F" w:rsidRDefault="009F11CC">
      <w:pPr>
        <w:rPr>
          <w:rFonts w:cs="Arial"/>
          <w:sz w:val="18"/>
          <w:szCs w:val="18"/>
        </w:rPr>
      </w:pPr>
      <w:r>
        <w:rPr>
          <w:rFonts w:cs="Arial"/>
          <w:sz w:val="18"/>
          <w:szCs w:val="18"/>
        </w:rPr>
        <w:t/>
      </w:r>
    </w:p>
    <w:p w14:paraId="51FBE4A4" w14:textId="77777777" w:rsidR="00B8718F" w:rsidRDefault="009F11CC">
      <w:pPr>
        <w:ind w:left="284"/>
        <w:rPr>
          <w:rFonts w:ascii="Impact" w:hAnsi="Impact"/>
          <w:color w:val="FFC000"/>
          <w:kern w:val="28"/>
          <w:sz w:val="24"/>
          <w:szCs w:val="28"/>
        </w:rPr>
      </w:pPr>
      <w:r>
        <w:rPr>
          <w:rFonts w:asciiTheme="minorHAnsi" w:hAnsiTheme="minorHAnsi" w:cstheme="minorHAnsi"/>
          <w:color w:val="FF9900"/>
          <w:kern w:val="28"/>
          <w:sz w:val="28"/>
          <w:szCs w:val="28"/>
        </w:rPr>
        <w:t>Le prétraitement : Fosse toutes eaux</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A419D38" w14:textId="77777777">
        <w:trPr>
          <w:jc w:val="center"/>
        </w:trPr>
        <w:tc>
          <w:tcPr>
            <w:tcW w:w="3343" w:type="dxa"/>
            <w:shd w:val="clear" w:color="auto" w:fill="auto"/>
          </w:tcPr>
          <w:p w14:paraId="477F4AC8" w14:textId="77777777" w:rsidR="00B8718F" w:rsidRDefault="009F11CC">
            <w:pPr>
              <w:rPr>
                <w:rFonts w:cs="Arial"/>
                <w:sz w:val="18"/>
                <w:szCs w:val="18"/>
              </w:rPr>
            </w:pPr>
            <w:r>
              <w:rPr>
                <w:rFonts w:cs="Arial"/>
                <w:sz w:val="18"/>
                <w:szCs w:val="18"/>
              </w:rPr>
              <w:t>Volume en m³</w:t>
            </w:r>
          </w:p>
        </w:tc>
        <w:tc>
          <w:tcPr>
            <w:tcW w:w="7027" w:type="dxa"/>
          </w:tcPr>
          <w:p w14:paraId="7964C760" w14:textId="77777777" w:rsidR="00B8718F" w:rsidRDefault="009F11CC">
            <w:pPr>
              <w:rPr>
                <w:rFonts w:cs="Arial"/>
                <w:sz w:val="18"/>
                <w:szCs w:val="18"/>
              </w:rPr>
            </w:pPr>
            <w:r>
              <w:rPr>
                <w:rFonts w:cs="Arial"/>
                <w:sz w:val="18"/>
                <w:szCs w:val="18"/>
              </w:rPr>
              <w:t>2 m</w:t>
            </w:r>
            <w:r>
              <w:rPr>
                <w:rFonts w:cs="Arial"/>
                <w:sz w:val="18"/>
                <w:szCs w:val="18"/>
                <w:vertAlign w:val="superscript"/>
              </w:rPr>
              <w:t>3</w:t>
            </w:r>
          </w:p>
        </w:tc>
      </w:tr>
      <w:tr w:rsidR="00B8718F" w14:paraId="5A6B9826" w14:textId="77777777">
        <w:trPr>
          <w:jc w:val="center"/>
        </w:trPr>
        <w:tc>
          <w:tcPr>
            <w:tcW w:w="3343" w:type="dxa"/>
            <w:shd w:val="clear" w:color="auto" w:fill="auto"/>
          </w:tcPr>
          <w:p w14:paraId="32394430" w14:textId="77777777" w:rsidR="00B8718F" w:rsidRDefault="009F11CC">
            <w:pPr>
              <w:rPr>
                <w:rFonts w:cs="Arial"/>
                <w:sz w:val="18"/>
                <w:szCs w:val="18"/>
              </w:rPr>
            </w:pPr>
            <w:r>
              <w:rPr>
                <w:rFonts w:cs="Arial"/>
                <w:sz w:val="18"/>
                <w:szCs w:val="18"/>
              </w:rPr>
              <w:t>Marque</w:t>
            </w:r>
          </w:p>
        </w:tc>
        <w:tc>
          <w:tcPr>
            <w:tcW w:w="7027" w:type="dxa"/>
          </w:tcPr>
          <w:p w14:paraId="59F9ACEB" w14:textId="77777777" w:rsidR="00B8718F" w:rsidRDefault="009F11CC">
            <w:pPr>
              <w:rPr>
                <w:rFonts w:cs="Arial"/>
                <w:sz w:val="18"/>
                <w:szCs w:val="18"/>
              </w:rPr>
            </w:pPr>
            <w:r>
              <w:rPr>
                <w:rFonts w:cs="Arial"/>
                <w:sz w:val="18"/>
                <w:szCs w:val="18"/>
              </w:rPr>
              <w:t/>
            </w:r>
          </w:p>
        </w:tc>
      </w:tr>
      <w:tr w:rsidR="00B8718F" w14:paraId="6DA0EB55" w14:textId="77777777">
        <w:trPr>
          <w:jc w:val="center"/>
        </w:trPr>
        <w:tc>
          <w:tcPr>
            <w:tcW w:w="3343" w:type="dxa"/>
            <w:shd w:val="clear" w:color="auto" w:fill="auto"/>
          </w:tcPr>
          <w:p w14:paraId="6CB8CF68" w14:textId="77777777" w:rsidR="00B8718F" w:rsidRDefault="009F11CC">
            <w:pPr>
              <w:rPr>
                <w:rFonts w:cs="Arial"/>
                <w:sz w:val="18"/>
                <w:szCs w:val="18"/>
              </w:rPr>
            </w:pPr>
            <w:r>
              <w:rPr>
                <w:rFonts w:cs="Arial"/>
                <w:sz w:val="18"/>
                <w:szCs w:val="18"/>
              </w:rPr>
              <w:t>Matériaux</w:t>
            </w:r>
          </w:p>
        </w:tc>
        <w:tc>
          <w:tcPr>
            <w:tcW w:w="7027" w:type="dxa"/>
          </w:tcPr>
          <w:p w14:paraId="08F9AE50" w14:textId="77777777" w:rsidR="00B8718F" w:rsidRDefault="009F11CC">
            <w:pPr>
              <w:rPr>
                <w:rFonts w:cs="Arial"/>
                <w:sz w:val="18"/>
                <w:szCs w:val="18"/>
              </w:rPr>
            </w:pPr>
            <w:r>
              <w:rPr>
                <w:rFonts w:cs="Arial"/>
                <w:sz w:val="18"/>
                <w:szCs w:val="18"/>
              </w:rPr>
              <w:t/>
            </w:r>
          </w:p>
        </w:tc>
      </w:tr>
      <w:tr w:rsidR="00B8718F" w14:paraId="7D455903" w14:textId="77777777">
        <w:trPr>
          <w:jc w:val="center"/>
        </w:trPr>
        <w:tc>
          <w:tcPr>
            <w:tcW w:w="3343" w:type="dxa"/>
            <w:shd w:val="clear" w:color="auto" w:fill="auto"/>
          </w:tcPr>
          <w:p w14:paraId="51710587" w14:textId="77777777" w:rsidR="00B8718F" w:rsidRDefault="009F11CC">
            <w:pPr>
              <w:rPr>
                <w:rFonts w:cs="Arial"/>
                <w:sz w:val="18"/>
                <w:szCs w:val="18"/>
              </w:rPr>
            </w:pPr>
            <w:r>
              <w:rPr>
                <w:rFonts w:cs="Arial"/>
                <w:sz w:val="18"/>
                <w:szCs w:val="18"/>
              </w:rPr>
              <w:t>Commentaire</w:t>
            </w:r>
          </w:p>
        </w:tc>
        <w:tc>
          <w:tcPr>
            <w:tcW w:w="7027" w:type="dxa"/>
          </w:tcPr>
          <w:p w14:paraId="77EDEA60" w14:textId="77777777" w:rsidR="00B8718F" w:rsidRDefault="009F11CC">
            <w:pPr>
              <w:rPr>
                <w:rFonts w:cs="Arial"/>
                <w:sz w:val="18"/>
                <w:szCs w:val="18"/>
              </w:rPr>
            </w:pPr>
            <w:r>
              <w:rPr>
                <w:rFonts w:cs="Arial"/>
                <w:sz w:val="18"/>
                <w:szCs w:val="18"/>
              </w:rPr>
              <w:t/>
            </w:r>
          </w:p>
        </w:tc>
      </w:tr>
      <w:tr w:rsidR="00B8718F" w14:paraId="088D1800" w14:textId="77777777">
        <w:trPr>
          <w:jc w:val="center"/>
        </w:trPr>
        <w:tc>
          <w:tcPr>
            <w:tcW w:w="3343" w:type="dxa"/>
            <w:shd w:val="clear" w:color="auto" w:fill="auto"/>
          </w:tcPr>
          <w:p w14:paraId="6874B6E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6099D4FF" w14:textId="77777777" w:rsidR="00B8718F" w:rsidRDefault="009F11CC">
            <w:pPr>
              <w:rPr>
                <w:rFonts w:cs="Arial"/>
                <w:sz w:val="18"/>
                <w:szCs w:val="18"/>
              </w:rPr>
            </w:pPr>
            <w:r>
              <w:rPr>
                <w:rFonts w:cs="Arial"/>
                <w:sz w:val="18"/>
                <w:szCs w:val="18"/>
              </w:rPr>
              <w:t/>
            </w:r>
          </w:p>
        </w:tc>
      </w:tr>
      <w:tr w:rsidR="00B8718F" w14:paraId="6C7EAB83" w14:textId="77777777">
        <w:trPr>
          <w:jc w:val="center"/>
        </w:trPr>
        <w:tc>
          <w:tcPr>
            <w:tcW w:w="3343" w:type="dxa"/>
            <w:shd w:val="clear" w:color="auto" w:fill="auto"/>
          </w:tcPr>
          <w:p w14:paraId="27DE77EA" w14:textId="77777777" w:rsidR="00B8718F" w:rsidRDefault="009F11CC">
            <w:pPr>
              <w:rPr>
                <w:rFonts w:cs="Arial"/>
                <w:sz w:val="18"/>
                <w:szCs w:val="18"/>
              </w:rPr>
            </w:pPr>
            <w:r>
              <w:rPr>
                <w:rFonts w:cs="Arial"/>
                <w:sz w:val="18"/>
                <w:szCs w:val="18"/>
              </w:rPr>
              <w:t>Type d'eaux usées</w:t>
            </w:r>
          </w:p>
        </w:tc>
        <w:tc>
          <w:tcPr>
            <w:tcW w:w="7027" w:type="dxa"/>
          </w:tcPr>
          <w:p w14:paraId="1CAB2387" w14:textId="77777777" w:rsidR="00B8718F" w:rsidRDefault="009F11CC">
            <w:pPr>
              <w:rPr>
                <w:rFonts w:cs="Arial"/>
                <w:sz w:val="18"/>
                <w:szCs w:val="18"/>
              </w:rPr>
            </w:pPr>
            <w:r>
              <w:rPr>
                <w:rFonts w:cs="Arial"/>
                <w:sz w:val="18"/>
                <w:szCs w:val="18"/>
              </w:rPr>
              <w:t/>
            </w:r>
          </w:p>
        </w:tc>
      </w:tr>
      <w:tr w:rsidR="00B8718F" w14:paraId="16742F2A" w14:textId="77777777">
        <w:trPr>
          <w:jc w:val="center"/>
        </w:trPr>
        <w:tc>
          <w:tcPr>
            <w:tcW w:w="3343" w:type="dxa"/>
            <w:shd w:val="clear" w:color="auto" w:fill="auto"/>
          </w:tcPr>
          <w:p w14:paraId="5286A6A4" w14:textId="77777777" w:rsidR="00B8718F" w:rsidRDefault="009F11CC">
            <w:pPr>
              <w:rPr>
                <w:rFonts w:cs="Arial"/>
                <w:sz w:val="18"/>
                <w:szCs w:val="18"/>
              </w:rPr>
            </w:pPr>
            <w:r>
              <w:rPr>
                <w:rFonts w:cs="Arial"/>
                <w:sz w:val="18"/>
                <w:szCs w:val="18"/>
              </w:rPr>
              <w:t>Le prétraitement est-il accessible ?</w:t>
            </w:r>
          </w:p>
        </w:tc>
        <w:tc>
          <w:tcPr>
            <w:tcW w:w="7027" w:type="dxa"/>
          </w:tcPr>
          <w:p w14:paraId="12B3CAB5" w14:textId="77777777" w:rsidR="00B8718F" w:rsidRDefault="009F11CC">
            <w:pPr>
              <w:rPr>
                <w:rFonts w:cs="Arial"/>
                <w:sz w:val="18"/>
                <w:szCs w:val="18"/>
              </w:rPr>
            </w:pPr>
            <w:r>
              <w:rPr>
                <w:rFonts w:cs="Arial"/>
                <w:sz w:val="18"/>
                <w:szCs w:val="18"/>
              </w:rPr>
              <w:t/>
            </w:r>
          </w:p>
        </w:tc>
      </w:tr>
      <w:tr w:rsidR="00B8718F" w14:paraId="2883FD55" w14:textId="77777777">
        <w:trPr>
          <w:jc w:val="center"/>
        </w:trPr>
        <w:tc>
          <w:tcPr>
            <w:tcW w:w="3343" w:type="dxa"/>
            <w:shd w:val="clear" w:color="auto" w:fill="auto"/>
          </w:tcPr>
          <w:p w14:paraId="02421496" w14:textId="77777777" w:rsidR="00B8718F" w:rsidRDefault="009F11CC">
            <w:pPr>
              <w:rPr>
                <w:rFonts w:cs="Arial"/>
                <w:sz w:val="18"/>
                <w:szCs w:val="18"/>
              </w:rPr>
            </w:pPr>
            <w:r>
              <w:rPr>
                <w:rFonts w:cs="Arial"/>
                <w:sz w:val="18"/>
                <w:szCs w:val="18"/>
              </w:rPr>
              <w:t>Le tampon est-il verrouillé ?</w:t>
            </w:r>
          </w:p>
        </w:tc>
        <w:tc>
          <w:tcPr>
            <w:tcW w:w="7027" w:type="dxa"/>
          </w:tcPr>
          <w:p w14:paraId="3C1C660E" w14:textId="77777777" w:rsidR="00B8718F" w:rsidRDefault="009F11CC">
            <w:pPr>
              <w:rPr>
                <w:rFonts w:cs="Arial"/>
                <w:sz w:val="18"/>
                <w:szCs w:val="18"/>
              </w:rPr>
            </w:pPr>
            <w:r>
              <w:rPr>
                <w:rFonts w:cs="Arial"/>
                <w:sz w:val="18"/>
                <w:szCs w:val="18"/>
              </w:rPr>
              <w:t/>
            </w:r>
          </w:p>
        </w:tc>
      </w:tr>
      <w:tr w:rsidR="00B8718F" w14:paraId="40F35AEE" w14:textId="77777777">
        <w:trPr>
          <w:jc w:val="center"/>
        </w:trPr>
        <w:tc>
          <w:tcPr>
            <w:tcW w:w="3343" w:type="dxa"/>
            <w:shd w:val="clear" w:color="auto" w:fill="auto"/>
          </w:tcPr>
          <w:p w14:paraId="6A9A72FA" w14:textId="77777777" w:rsidR="00B8718F" w:rsidRDefault="009F11CC">
            <w:pPr>
              <w:rPr>
                <w:rFonts w:cs="Arial"/>
                <w:sz w:val="18"/>
                <w:szCs w:val="18"/>
              </w:rPr>
            </w:pPr>
            <w:r>
              <w:rPr>
                <w:rFonts w:cs="Arial"/>
                <w:sz w:val="18"/>
                <w:szCs w:val="18"/>
              </w:rPr>
              <w:t>Fosse toutes eaux</w:t>
            </w:r>
          </w:p>
        </w:tc>
        <w:tc>
          <w:tcPr>
            <w:tcW w:w="7027" w:type="dxa"/>
          </w:tcPr>
          <w:p w14:paraId="4239DD80" w14:textId="77777777" w:rsidR="00B8718F" w:rsidRDefault="009F11CC">
            <w:pPr>
              <w:rPr>
                <w:rFonts w:cs="Arial"/>
                <w:sz w:val="18"/>
                <w:szCs w:val="18"/>
              </w:rPr>
            </w:pPr>
            <w:r>
              <w:rPr>
                <w:rFonts w:cs="Arial"/>
                <w:sz w:val="18"/>
                <w:szCs w:val="18"/>
              </w:rPr>
              <w:t/>
            </w:r>
          </w:p>
        </w:tc>
      </w:tr>
      <w:tr w:rsidR="00B8718F" w14:paraId="7756E440" w14:textId="77777777">
        <w:trPr>
          <w:jc w:val="center"/>
        </w:trPr>
        <w:tc>
          <w:tcPr>
            <w:tcW w:w="3343" w:type="dxa"/>
            <w:shd w:val="clear" w:color="auto" w:fill="auto"/>
          </w:tcPr>
          <w:p w14:paraId="52F437B9"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7E0A972F" w14:textId="77777777" w:rsidR="00B8718F" w:rsidRDefault="009F11CC">
            <w:pPr>
              <w:rPr>
                <w:rFonts w:cs="Arial"/>
                <w:sz w:val="18"/>
                <w:szCs w:val="18"/>
              </w:rPr>
            </w:pPr>
            <w:r>
              <w:rPr>
                <w:rFonts w:cs="Arial"/>
                <w:sz w:val="18"/>
                <w:szCs w:val="18"/>
              </w:rPr>
              <w:t/>
            </w:r>
          </w:p>
        </w:tc>
      </w:tr>
      <w:tr w:rsidR="00B8718F" w14:paraId="56429D62" w14:textId="77777777">
        <w:trPr>
          <w:jc w:val="center"/>
        </w:trPr>
        <w:tc>
          <w:tcPr>
            <w:tcW w:w="3343" w:type="dxa"/>
            <w:shd w:val="clear" w:color="auto" w:fill="auto"/>
          </w:tcPr>
          <w:p w14:paraId="5B7F66F5"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419D9AA6" w14:textId="77777777" w:rsidR="00B8718F" w:rsidRDefault="009F11CC">
            <w:pPr>
              <w:rPr>
                <w:rFonts w:cs="Arial"/>
                <w:sz w:val="18"/>
                <w:szCs w:val="18"/>
              </w:rPr>
            </w:pPr>
            <w:r>
              <w:rPr>
                <w:rFonts w:cs="Arial"/>
                <w:sz w:val="18"/>
                <w:szCs w:val="18"/>
              </w:rPr>
              <w:t/>
            </w:r>
          </w:p>
        </w:tc>
      </w:tr>
      <w:tr w:rsidR="00B8718F" w14:paraId="30BCC861" w14:textId="77777777">
        <w:trPr>
          <w:jc w:val="center"/>
        </w:trPr>
        <w:tc>
          <w:tcPr>
            <w:tcW w:w="3343" w:type="dxa"/>
            <w:shd w:val="clear" w:color="auto" w:fill="auto"/>
          </w:tcPr>
          <w:p w14:paraId="549C9297"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15B08A78" w14:textId="77777777" w:rsidR="00B8718F" w:rsidRDefault="009F11CC">
            <w:pPr>
              <w:rPr>
                <w:rFonts w:cs="Arial"/>
                <w:sz w:val="18"/>
                <w:szCs w:val="18"/>
              </w:rPr>
            </w:pPr>
            <w:r>
              <w:rPr>
                <w:rFonts w:cs="Arial"/>
                <w:sz w:val="18"/>
                <w:szCs w:val="18"/>
              </w:rPr>
              <w:t/>
            </w:r>
          </w:p>
        </w:tc>
      </w:tr>
      <w:tr w:rsidR="00B8718F" w14:paraId="7875096D" w14:textId="77777777">
        <w:trPr>
          <w:jc w:val="center"/>
        </w:trPr>
        <w:tc>
          <w:tcPr>
            <w:tcW w:w="3343" w:type="dxa"/>
            <w:shd w:val="clear" w:color="auto" w:fill="auto"/>
          </w:tcPr>
          <w:p w14:paraId="55600036" w14:textId="77777777" w:rsidR="00B8718F" w:rsidRDefault="009F11CC">
            <w:pPr>
              <w:rPr>
                <w:rFonts w:cs="Arial"/>
                <w:sz w:val="18"/>
                <w:szCs w:val="18"/>
              </w:rPr>
            </w:pPr>
            <w:r>
              <w:rPr>
                <w:rFonts w:cs="Arial"/>
                <w:sz w:val="18"/>
                <w:szCs w:val="18"/>
              </w:rPr>
              <w:t>Si oui, préciser :</w:t>
            </w:r>
          </w:p>
        </w:tc>
        <w:tc>
          <w:tcPr>
            <w:tcW w:w="7027" w:type="dxa"/>
          </w:tcPr>
          <w:p w14:paraId="5EF502B0" w14:textId="77777777" w:rsidR="00B8718F" w:rsidRDefault="009F11CC">
            <w:pPr>
              <w:rPr>
                <w:rFonts w:cs="Arial"/>
                <w:sz w:val="18"/>
                <w:szCs w:val="18"/>
              </w:rPr>
            </w:pPr>
            <w:r>
              <w:rPr>
                <w:rFonts w:cs="Arial"/>
                <w:sz w:val="18"/>
                <w:szCs w:val="18"/>
              </w:rPr>
              <w:t/>
            </w:r>
          </w:p>
        </w:tc>
      </w:tr>
      <w:tr w:rsidR="00B8718F" w14:paraId="0917E0F6" w14:textId="77777777">
        <w:trPr>
          <w:jc w:val="center"/>
        </w:trPr>
        <w:tc>
          <w:tcPr>
            <w:tcW w:w="3343" w:type="dxa"/>
            <w:shd w:val="clear" w:color="auto" w:fill="auto"/>
          </w:tcPr>
          <w:p w14:paraId="3CF7A597" w14:textId="77777777" w:rsidR="00B8718F" w:rsidRDefault="009F11CC">
            <w:pPr>
              <w:rPr>
                <w:rFonts w:cs="Arial"/>
                <w:sz w:val="18"/>
                <w:szCs w:val="18"/>
              </w:rPr>
            </w:pPr>
            <w:r>
              <w:rPr>
                <w:rFonts w:cs="Arial"/>
                <w:sz w:val="18"/>
                <w:szCs w:val="18"/>
              </w:rPr>
              <w:lastRenderedPageBreak/>
              <w:t>Présence d'odeurs ?</w:t>
            </w:r>
          </w:p>
        </w:tc>
        <w:tc>
          <w:tcPr>
            <w:tcW w:w="7027" w:type="dxa"/>
          </w:tcPr>
          <w:p w14:paraId="0398699A" w14:textId="77777777" w:rsidR="00B8718F" w:rsidRDefault="009F11CC">
            <w:pPr>
              <w:rPr>
                <w:rFonts w:cs="Arial"/>
                <w:sz w:val="18"/>
                <w:szCs w:val="18"/>
              </w:rPr>
            </w:pPr>
            <w:r>
              <w:rPr>
                <w:rFonts w:cs="Arial"/>
                <w:sz w:val="18"/>
                <w:szCs w:val="18"/>
              </w:rPr>
              <w:t/>
            </w:r>
          </w:p>
        </w:tc>
      </w:tr>
      <w:tr w:rsidR="00B8718F" w14:paraId="28C14AB0" w14:textId="77777777">
        <w:trPr>
          <w:jc w:val="center"/>
        </w:trPr>
        <w:tc>
          <w:tcPr>
            <w:tcW w:w="3343" w:type="dxa"/>
            <w:shd w:val="clear" w:color="auto" w:fill="auto"/>
          </w:tcPr>
          <w:p w14:paraId="741DF0B1"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3BA7A066" w14:textId="77777777" w:rsidR="00B8718F" w:rsidRDefault="009F11CC">
            <w:pPr>
              <w:rPr>
                <w:rFonts w:cs="Arial"/>
                <w:sz w:val="18"/>
                <w:szCs w:val="18"/>
              </w:rPr>
            </w:pPr>
            <w:r>
              <w:rPr>
                <w:rFonts w:cs="Arial"/>
                <w:sz w:val="18"/>
                <w:szCs w:val="18"/>
              </w:rPr>
              <w:t/>
            </w:r>
          </w:p>
        </w:tc>
      </w:tr>
      <w:tr w:rsidR="00B8718F" w14:paraId="53F60729" w14:textId="77777777">
        <w:trPr>
          <w:jc w:val="center"/>
        </w:trPr>
        <w:tc>
          <w:tcPr>
            <w:tcW w:w="3343" w:type="dxa"/>
            <w:shd w:val="clear" w:color="auto" w:fill="auto"/>
          </w:tcPr>
          <w:p w14:paraId="1A5B0F6A"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326B284E" w14:textId="77777777" w:rsidR="00B8718F" w:rsidRDefault="009F11CC">
            <w:pPr>
              <w:rPr>
                <w:rFonts w:cs="Arial"/>
                <w:sz w:val="18"/>
                <w:szCs w:val="18"/>
              </w:rPr>
            </w:pPr>
            <w:r>
              <w:rPr>
                <w:rFonts w:cs="Arial"/>
                <w:sz w:val="18"/>
                <w:szCs w:val="18"/>
              </w:rPr>
              <w:t/>
            </w:r>
          </w:p>
        </w:tc>
      </w:tr>
      <w:tr w:rsidR="00B8718F" w14:paraId="6A73B0AC" w14:textId="77777777">
        <w:trPr>
          <w:jc w:val="center"/>
        </w:trPr>
        <w:tc>
          <w:tcPr>
            <w:tcW w:w="3343" w:type="dxa"/>
            <w:shd w:val="clear" w:color="auto" w:fill="auto"/>
          </w:tcPr>
          <w:p w14:paraId="207D8D08" w14:textId="77777777" w:rsidR="00B8718F" w:rsidRDefault="009F11CC">
            <w:pPr>
              <w:rPr>
                <w:rFonts w:cs="Arial"/>
                <w:sz w:val="18"/>
                <w:szCs w:val="18"/>
              </w:rPr>
            </w:pPr>
            <w:r>
              <w:rPr>
                <w:rFonts w:cs="Arial"/>
                <w:sz w:val="18"/>
                <w:szCs w:val="18"/>
              </w:rPr>
              <w:t>Vidange(s) effectuée(s)</w:t>
            </w:r>
          </w:p>
        </w:tc>
        <w:tc>
          <w:tcPr>
            <w:tcW w:w="7027" w:type="dxa"/>
          </w:tcPr>
          <w:p w14:paraId="0B983D48" w14:textId="77777777" w:rsidR="00B8718F" w:rsidRDefault="009F11CC">
            <w:pPr>
              <w:rPr>
                <w:rFonts w:cs="Arial"/>
                <w:sz w:val="18"/>
                <w:szCs w:val="18"/>
              </w:rPr>
            </w:pPr>
            <w:r>
              <w:rPr>
                <w:rFonts w:cs="Arial"/>
                <w:sz w:val="18"/>
                <w:szCs w:val="18"/>
              </w:rPr>
              <w:t/>
            </w:r>
          </w:p>
        </w:tc>
      </w:tr>
      <w:tr w:rsidR="00B8718F" w14:paraId="6E160802" w14:textId="77777777">
        <w:trPr>
          <w:jc w:val="center"/>
        </w:trPr>
        <w:tc>
          <w:tcPr>
            <w:tcW w:w="3343" w:type="dxa"/>
            <w:shd w:val="clear" w:color="auto" w:fill="auto"/>
          </w:tcPr>
          <w:p w14:paraId="734D9531" w14:textId="77777777" w:rsidR="00B8718F" w:rsidRDefault="009F11CC">
            <w:pPr>
              <w:rPr>
                <w:rFonts w:cs="Arial"/>
                <w:sz w:val="18"/>
                <w:szCs w:val="18"/>
              </w:rPr>
            </w:pPr>
            <w:r>
              <w:rPr>
                <w:rFonts w:cs="Arial"/>
                <w:sz w:val="18"/>
                <w:szCs w:val="18"/>
              </w:rPr>
              <w:t>Commentaires sur le prétraitement</w:t>
            </w:r>
          </w:p>
        </w:tc>
        <w:tc>
          <w:tcPr>
            <w:tcW w:w="7027" w:type="dxa"/>
          </w:tcPr>
          <w:p w14:paraId="0261696C" w14:textId="77777777" w:rsidR="00B8718F" w:rsidRDefault="009F11CC">
            <w:pPr>
              <w:rPr>
                <w:rFonts w:cs="Arial"/>
                <w:sz w:val="18"/>
                <w:szCs w:val="18"/>
              </w:rPr>
            </w:pPr>
            <w:r>
              <w:rPr>
                <w:rFonts w:cs="Arial"/>
                <w:sz w:val="18"/>
                <w:szCs w:val="18"/>
              </w:rPr>
              <w:t/>
            </w:r>
          </w:p>
        </w:tc>
      </w:tr>
    </w:tbl>
    <w:p w14:paraId="5E3E2246"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250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 </w:t>
            </w:r>
          </w:p>
        </w:tc>
      </w:tr>
    </w:tbl>
    <w:p w14:paraId="3B77D75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Oui</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Non</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de la fosse toutes eaux, totalement en charge lors du contrôle</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collecte le trop plein du bac dégraisseur</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Oui</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Oui</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lors du contrôle, le regard de visite était en charge ce qui suppose que l'infiltration dans le sol ne se fait plus</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Créer un système de traitement pour l'ensemble des eaux usées</w:t>
              <w:br/>
              <w:t>Créer une ventilation secondaire pour la fosse</w:t>
              <w:br/>
              <w:t>L’acquéreur devra réaliser une filière complète d’assainissement individuel comprenant un prétraitement de l’ensemble des eaux usées (type fosse toutes eaux) suivi d’un traitement adapté aux caractéristiques du sol et de l’habitation.</w:t>
              <w:br/>
              <w:t xml:space="preserve">Les  puisards,  puits  perdu,  puits  désaffecté,  cavité  naturelle  ou  artiﬁcielle  profonde  ne  sont  ni  des </w:t>
              <w:br/>
              <w:t>ouvrages de traitement ni des ouvrages d’évacuation des eaux usées traitées.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