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4347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22/01/2020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72  route des Millots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BM 365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SICOULY Philippe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70      RUE ANDRE AUDINET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58220 DONZY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850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semble recevoir les eaux ménagères de la cuisine et de la salle de bain, le trop plein de la fosse septique et probablement une gouttière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située sous les toilettes</w:t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24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environ 24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lastRenderedPageBreak/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La commune prévoit des travaux de création d’un réseau d’assainissement collectif, l’acquéreur aura l’obligation de supprimer l'ensemble des ouvrages existants et raccorder les eaux usées à ce réseau.</w:t>
              <w:br/>
              <w:t>Le cas échéant:</w:t>
              <w:br/>
              <w:t>Mettre en place un prétraitement pour les eaux ménagères</w:t>
              <w:br/>
              <w:t>Modifier la ventilation secondaire de la fosse</w:t>
              <w:br/>
              <w:t>Séparer les eaux pluviales des eaux usées</w:t>
              <w:br/>
              <w:t>Remplacer les couvercles des regards corrodés ou abîmés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