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7318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15/02/2022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17  Rue de la renardière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MYENNES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AK 179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KUCHTA Stephane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17 rue de la renardière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MYENNES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3500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Quel que soit son dimensionnement, une tranchée d’épandage unique est toujours considérée comme signiﬁcativement sous-dimensionnée par la réglementation. Il faut un minimum de deux tranchées d’épandage pour assurer un traitement secondaire et une inﬁltration des eaux usées traitées.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