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1 781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29/07/2020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r>
              <w:rPr>
                <w:rFonts w:asciiTheme="minorHAnsi" w:hAnsiTheme="minorHAnsi" w:cstheme="minorHAnsi"/>
                <w:szCs w:val="20"/>
              </w:rPr>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  LES CROCAVINS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58 440 LA CELLE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ZC</w:t>
            </w:r>
            <w:r>
              <w:rPr>
                <w:rFonts w:asciiTheme="minorHAnsi" w:hAnsiTheme="minorHAnsi" w:cstheme="minorHAnsi"/>
                <w:bCs/>
                <w:szCs w:val="20"/>
              </w:rPr>
              <w:t xml:space="preserve"> 44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HYLAIRE Sandra</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Adresse : 1 769 bis   #{info_gen</w:t>
            </w:r>
            <w:r>
              <w:rPr>
                <w:rFonts w:asciiTheme="minorHAnsi" w:hAnsiTheme="minorHAnsi" w:cstheme="minorHAnsi"/>
                <w:szCs w:val="20"/>
              </w:rPr>
              <w:t xml:space="preserve">erales.proprietaire.adresse_etage}  Route de HERRAN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40 160 #{info_generales.proprietaire.adresse_</w:t>
            </w:r>
            <w:r>
              <w:rPr>
                <w:rFonts w:asciiTheme="minorHAnsi" w:hAnsiTheme="minorHAnsi" w:cstheme="minorHAnsi"/>
                <w:szCs w:val="20"/>
              </w:rPr>
              <w:t>ville}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r>
              <w:rPr>
                <w:rFonts w:asciiTheme="minorHAnsi" w:hAnsiTheme="minorHAnsi" w:cstheme="minorHAnsi"/>
              </w:rPr>
              <w:t>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 xml:space="preserve">Logement vacant : </w:t>
            </w:r>
            <w:r>
              <w:rPr>
                <w:rFonts w:asciiTheme="minorHAnsi" w:hAnsiTheme="minorHAnsi" w:cstheme="minorHAnsi"/>
              </w:rPr>
              <w:t>☐</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équivalent habitant : </w:t>
            </w:r>
            <w:r>
              <w:rPr>
                <w:rFonts w:asciiTheme="minorHAnsi" w:hAnsiTheme="minorHAnsi" w:cstheme="minorHAnsi"/>
              </w:rPr>
              <w:t>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8 000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 xml:space="preserve">Etude de sol réalisée : </w:t>
            </w:r>
            <w:r>
              <w:rPr>
                <w:rFonts w:asciiTheme="minorHAnsi" w:hAnsiTheme="minorHAnsi" w:cstheme="minorHAnsi"/>
                <w:szCs w:val="20"/>
              </w:rPr>
              <w:t>☐</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Pente du terrain recouvrant le traitement : Faible</w:t>
            </w:r>
            <w:r>
              <w:rPr>
                <w:rFonts w:asciiTheme="minorHAnsi" w:hAnsiTheme="minorHAnsi" w:cstheme="minorHAnsi"/>
                <w:szCs w:val="20"/>
              </w:rPr>
              <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xml:space="preserve">, distance par rapport au dispositif de </w:t>
            </w:r>
            <w:r>
              <w:rPr>
                <w:rFonts w:asciiTheme="minorHAnsi" w:hAnsiTheme="minorHAnsi" w:cstheme="minorHAnsi"/>
                <w:szCs w:val="20"/>
              </w:rPr>
              <w:t>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w:t>
            </w:r>
            <w:r>
              <w:rPr>
                <w:rFonts w:asciiTheme="minorHAnsi" w:hAnsiTheme="minorHAnsi" w:cstheme="minorHAnsi"/>
                <w:szCs w:val="20"/>
              </w:rPr>
              <w:t>☑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 xml:space="preserve">Existe-t-il des documents permettant de déterminer les </w:t>
            </w:r>
            <w:r>
              <w:rPr>
                <w:rFonts w:asciiTheme="minorHAnsi" w:hAnsiTheme="minorHAnsi" w:cstheme="minorHAnsi"/>
              </w:rPr>
              <w:t>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w:t>
            </w:r>
            <w:r>
              <w:rPr>
                <w:rFonts w:asciiTheme="minorHAnsi" w:hAnsiTheme="minorHAnsi" w:cstheme="minorHAnsi"/>
              </w:rPr>
              <w:t xml:space="preserve">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Micro-station</w:t>
            </w:r>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w:t>
            </w:r>
            <w:r>
              <w:rPr>
                <w:rFonts w:asciiTheme="minorHAnsi" w:hAnsiTheme="minorHAnsi" w:cstheme="minorHAnsi"/>
                <w:sz w:val="20"/>
              </w:rPr>
              <w:t xml:space="preserve">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w:t>
      </w:r>
      <w:r>
        <w:rPr>
          <w:rFonts w:asciiTheme="minorHAnsi" w:eastAsia="Times New Roman" w:hAnsiTheme="minorHAnsi" w:cstheme="minorHAnsi"/>
          <w:i w:val="0"/>
          <w:iCs w:val="0"/>
          <w:color w:val="FF9900"/>
          <w:kern w:val="28"/>
          <w:sz w:val="28"/>
          <w:szCs w:val="28"/>
        </w:rPr>
        <w:t xml:space="preserve">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r>
              <w:rPr>
                <w:sz w:val="18"/>
              </w:rPr>
              <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r>
              <w:rPr>
                <w:sz w:val="18"/>
              </w:rPr>
              <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w:t>
            </w:r>
            <w:r>
              <w:rPr>
                <w:sz w:val="18"/>
              </w:rPr>
              <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r>
              <w:rPr>
                <w:rFonts w:cs="Arial"/>
                <w:sz w:val="18"/>
                <w:szCs w:val="18"/>
              </w:rPr>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r>
              <w:rPr>
                <w:rFonts w:cs="Arial"/>
                <w:sz w:val="18"/>
                <w:szCs w:val="18"/>
              </w:rPr>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r>
              <w:rPr>
                <w:rFonts w:cs="Arial"/>
                <w:sz w:val="18"/>
                <w:szCs w:val="18"/>
              </w:rPr>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r>
              <w:rPr>
                <w:rFonts w:cs="Arial"/>
                <w:sz w:val="18"/>
                <w:szCs w:val="18"/>
              </w:rPr>
              <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r>
              <w:rPr>
                <w:rFonts w:cs="Arial"/>
                <w:sz w:val="18"/>
                <w:szCs w:val="18"/>
              </w:rPr>
              <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Oui</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w:t>
      </w:r>
      <w:r>
        <w:rPr>
          <w:rFonts w:asciiTheme="minorHAnsi" w:hAnsiTheme="minorHAnsi" w:cstheme="minorHAnsi"/>
          <w:b w:val="0"/>
          <w:bCs w:val="0"/>
          <w:i w:val="0"/>
          <w:iCs w:val="0"/>
          <w:color w:val="FF9900"/>
          <w:kern w:val="28"/>
          <w:sz w:val="28"/>
          <w:szCs w:val="28"/>
          <w:lang w:eastAsia="fr-FR"/>
        </w:rPr>
        <w:t>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r>
              <w:rPr>
                <w:sz w:val="18"/>
              </w:rPr>
              <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r>
              <w:rPr>
                <w:sz w:val="18"/>
              </w:rPr>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r>
              <w:rPr>
                <w:sz w:val="18"/>
              </w:rPr>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les eaux ménagères de la salle de bain, le trop plein du regard de collecte et une gouttière</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r>
              <w:rPr>
                <w:rFonts w:cs="Arial"/>
                <w:sz w:val="18"/>
                <w:szCs w:val="18"/>
              </w:rPr>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r>
              <w:rPr>
                <w:rFonts w:cs="Arial"/>
                <w:sz w:val="18"/>
                <w:szCs w:val="18"/>
              </w:rPr>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w: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r>
              <w:rPr>
                <w:rFonts w:cs="Arial"/>
                <w:sz w:val="18"/>
                <w:szCs w:val="18"/>
              </w:rPr>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 xml:space="preserve">Conclusion du SPANC sur le </w:t>
      </w:r>
      <w:r>
        <w:rPr>
          <w:rFonts w:asciiTheme="minorHAnsi" w:hAnsiTheme="minorHAnsi" w:cstheme="minorHAnsi"/>
          <w:color w:val="FF9900"/>
        </w:rPr>
        <w:t>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#{grille.conc.enjeuen</w:t>
            </w:r>
            <w:r>
              <w:rPr>
                <w:rFonts w:asciiTheme="minorHAnsi" w:hAnsiTheme="minorHAnsi" w:cstheme="minorHAnsi"/>
                <w:bCs/>
                <w:szCs w:val="20"/>
              </w:rPr>
              <w:t>v-CB-0}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w:t>
            </w: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Commentaire(s) : </w:t>
            </w:r>
            <w:r>
              <w:rPr>
                <w:rFonts w:asciiTheme="minorHAnsi" w:hAnsiTheme="minorHAnsi" w:cstheme="minorHAnsi"/>
                <w:bCs/>
                <w:szCs w:val="20"/>
              </w:rPr>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d’accessibilité et de dé</w:t>
            </w:r>
            <w:r>
              <w:rPr>
                <w:rFonts w:asciiTheme="minorHAnsi" w:hAnsiTheme="minorHAnsi" w:cstheme="minorHAnsi"/>
                <w:b/>
                <w:bCs/>
                <w:szCs w:val="20"/>
              </w:rPr>
              <w:t xml:space="preserve">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Séparer les eaux pluviales des eaux usées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478F3C0F" w14:textId="54BBAB2C" w:rsidR="00B8718F" w:rsidRDefault="009F11CC">
            <w:pPr>
              <w:jc w:val="center"/>
              <w:rPr>
                <w:rFonts w:asciiTheme="minorHAnsi" w:hAnsiTheme="minorHAnsi" w:cstheme="minorHAnsi"/>
                <w:b/>
              </w:rPr>
            </w:pPr>
            <w:r>
              <w:rPr>
                <w:rFonts w:asciiTheme="minorHAnsi" w:hAnsiTheme="minorHAnsi" w:cstheme="minorHAnsi"/>
                <w:b/>
              </w:rPr>
              <w:t>Vice–Président</w:t>
            </w:r>
            <w:r>
              <w:rPr>
                <w:rFonts w:asciiTheme="minorHAnsi" w:hAnsiTheme="minorHAnsi" w:cstheme="minorHAnsi"/>
                <w:b/>
              </w:rPr>
              <w:t xml:space="preserve"> en charge de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D8C995" w14:textId="77777777" w:rsidR="009F11CC" w:rsidRDefault="009F11CC">
      <w:r>
        <w:separator/>
      </w:r>
    </w:p>
  </w:endnote>
  <w:endnote w:type="continuationSeparator" w:id="0">
    <w:p w14:paraId="0C331860" w14:textId="77777777" w:rsidR="009F11CC" w:rsidRDefault="009F1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 xml:space="preserve">Communauté de Communes Cœur de Loire – 4 Place Georges Clemenceau – BP70 – 58203 COSNE SUR LOIRE </w:t>
    </w:r>
    <w:r>
      <w:t>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3F96BD" w14:textId="77777777" w:rsidR="009F11CC" w:rsidRDefault="009F11CC">
      <w:r>
        <w:separator/>
      </w:r>
    </w:p>
  </w:footnote>
  <w:footnote w:type="continuationSeparator" w:id="0">
    <w:p w14:paraId="28476B3B" w14:textId="77777777" w:rsidR="009F11CC" w:rsidRDefault="009F11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5329D1"/>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14563</Words>
  <Characters>80101</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2020-07-23T10:17:00Z</dcterms:modified>
  <cp:revision>3</cp:revision>
  <dc:title>Informations générales</dc:title>
</cp:coreProperties>
</file>