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ANNAY</w:t>
      </w:r>
    </w:p>
    <w:p>
      <w:pPr>
        <w:ind w:left="708"/>
        <w:rPr>
          <w:rFonts w:cstheme="minorHAnsi"/>
          <w:szCs w:val="20"/>
        </w:rPr>
      </w:pPr>
      <w:r>
        <w:rPr>
          <w:sz w:val="36"/>
          <w:szCs w:val="36"/>
        </w:rPr>
        <w:t xml:space="preserve">Adresse du bien : </w:t>
      </w:r>
      <w:r>
        <w:rPr>
          <w:sz w:val="28"/>
          <w:szCs w:val="36"/>
        </w:rPr>
        <w:t xml:space="preserve">100  CHAMPS LANDY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FRAMMERY Laurence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29/10/2019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FRAMMERY Laurence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ZH 115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FRAMMERY Laurence</w:t>
            </w:r>
          </w:p>
          <w:p>
            <w:pPr>
              <w:spacing w:after="0" w:line="240" w:lineRule="auto"/>
              <w:rPr>
                <w:rFonts w:cstheme="minorHAnsi"/>
              </w:rPr>
            </w:pPr>
            <w:r>
              <w:rPr>
                <w:rFonts w:cstheme="minorHAnsi"/>
              </w:rPr>
              <w:t>Adresse : 100  CHAMPS LANDY Commune de ANNAY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