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3800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04/06/2019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69  RTE DE VILLEBERNE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COSNE COURS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AB 69</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AUDRY Renée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15      Rue Traversière </w:t>
            </w:r>
            <w:r>
              <w:rPr>
                <w:sz w:val="18"/>
                <w:szCs w:val="18"/>
              </w:rPr>
              <w:t/>
            </w:r>
          </w:p>
          <w:p>
            <w:pPr>
              <w:rPr>
                <w:rFonts w:asciiTheme="minorHAnsi" w:hAnsiTheme="minorHAnsi" w:cstheme="minorHAnsi"/>
                <w:szCs w:val="20"/>
              </w:rPr>
            </w:pPr>
            <w:r>
              <w:rPr>
                <w:rFonts w:asciiTheme="minorHAnsi" w:hAnsiTheme="minorHAnsi" w:cstheme="minorHAnsi"/>
                <w:szCs w:val="20"/>
              </w:rPr>
              <w:t xml:space="preserve">58500 SURGY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2900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salle de bain de l'étage</w:t>
            </w:r>
          </w:p>
        </w:tc>
      </w:tr>
    </w:tbl>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du sous sol</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corrosion du couvercle</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250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ménagères</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Béton</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préfiltre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Type</w:t>
            </w:r>
          </w:p>
        </w:tc>
        <w:tc>
          <w:tcPr>
            <w:tcW w:w="7027" w:type="dxa"/>
          </w:tcPr>
          <w:p>
            <w:pPr>
              <w:rPr>
                <w:sz w:val="18"/>
              </w:rPr>
            </w:pPr>
            <w:r>
              <w:rPr>
                <w:sz w:val="18"/>
              </w:rPr>
              <w:t>Séparé de la fosse toutes eaux</w:t>
            </w:r>
          </w:p>
        </w:tc>
      </w:tr>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250</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Pouzzolane</w:t>
            </w:r>
          </w:p>
        </w:tc>
      </w:tr>
      <w:tr>
        <w:trPr>
          <w:jc w:val="center"/>
        </w:trPr>
        <w:tc>
          <w:tcPr>
            <w:tcW w:w="3343" w:type="dxa"/>
            <w:shd w:val="clear" w:color="auto" w:fill="auto"/>
          </w:tcPr>
          <w:p>
            <w:pPr>
              <w:rPr>
                <w:sz w:val="18"/>
              </w:rPr>
            </w:pPr>
            <w:r>
              <w:rPr>
                <w:sz w:val="18"/>
              </w:rPr>
              <w:t>Indépendant de la fosse</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Tampon du préfiltre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Dégradations constatées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lastRenderedPageBreak/>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Préfiltre à matériau filtrant : présence du matériau de remplissage adapté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Colmatage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au sein du préfiltre correct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Regard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Commentaires :</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ind w:left="284"/>
        <w:rPr>
          <w:rFonts w:ascii="Impact" w:hAnsi="Impact"/>
          <w:color w:val="FFC000"/>
          <w:kern w:val="28"/>
          <w:sz w:val="24"/>
          <w:szCs w:val="28"/>
        </w:rPr>
      </w:pPr>
      <w:r>
        <w:rPr>
          <w:rFonts w:asciiTheme="minorHAnsi" w:hAnsiTheme="minorHAnsi" w:cstheme="minorHAnsi"/>
          <w:color w:val="FF9900"/>
          <w:kern w:val="28"/>
          <w:sz w:val="28"/>
          <w:szCs w:val="28"/>
        </w:rPr>
        <w:t>Le traitement : Plateau absorbant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Longueur en m / ml</w:t>
            </w:r>
          </w:p>
        </w:tc>
        <w:tc>
          <w:tcPr>
            <w:tcW w:w="7027" w:type="dxa"/>
          </w:tcPr>
          <w:p>
            <w:pPr>
              <w:rPr>
                <w:rFonts w:cs="Arial"/>
                <w:sz w:val="18"/>
                <w:szCs w:val="18"/>
              </w:rPr>
            </w:pPr>
            <w:r>
              <w:rPr>
                <w:rFonts w:cs="Arial"/>
                <w:sz w:val="18"/>
                <w:szCs w:val="18"/>
              </w:rPr>
              <w:t>5 m</w:t>
            </w:r>
          </w:p>
        </w:tc>
      </w:tr>
      <w:tr>
        <w:trPr>
          <w:jc w:val="center"/>
        </w:trPr>
        <w:tc>
          <w:tcPr>
            <w:tcW w:w="3343" w:type="dxa"/>
            <w:shd w:val="clear" w:color="auto" w:fill="auto"/>
          </w:tcPr>
          <w:p>
            <w:pPr>
              <w:rPr>
                <w:rFonts w:cs="Arial"/>
                <w:sz w:val="18"/>
                <w:szCs w:val="18"/>
              </w:rPr>
            </w:pPr>
            <w:r>
              <w:rPr>
                <w:rFonts w:cs="Arial"/>
                <w:sz w:val="18"/>
                <w:szCs w:val="18"/>
              </w:rPr>
              <w:t>Largeur en m</w:t>
            </w:r>
          </w:p>
        </w:tc>
        <w:tc>
          <w:tcPr>
            <w:tcW w:w="7027" w:type="dxa"/>
          </w:tcPr>
          <w:p>
            <w:pPr>
              <w:rPr>
                <w:rFonts w:cs="Arial"/>
                <w:sz w:val="18"/>
                <w:szCs w:val="18"/>
              </w:rPr>
            </w:pPr>
            <w:r>
              <w:rPr>
                <w:rFonts w:cs="Arial"/>
                <w:sz w:val="18"/>
                <w:szCs w:val="18"/>
              </w:rPr>
              <w:t>3 m</w:t>
            </w:r>
          </w:p>
        </w:tc>
      </w:tr>
      <w:tr>
        <w:trPr>
          <w:jc w:val="center"/>
        </w:trPr>
        <w:tc>
          <w:tcPr>
            <w:tcW w:w="3343" w:type="dxa"/>
            <w:shd w:val="clear" w:color="auto" w:fill="auto"/>
          </w:tcPr>
          <w:p>
            <w:pPr>
              <w:rPr>
                <w:rFonts w:cs="Arial"/>
                <w:sz w:val="18"/>
                <w:szCs w:val="18"/>
              </w:rPr>
            </w:pPr>
            <w:r>
              <w:rPr>
                <w:rFonts w:cs="Arial"/>
                <w:sz w:val="18"/>
                <w:szCs w:val="18"/>
              </w:rPr>
              <w:t>Surface en m²</w:t>
            </w:r>
          </w:p>
        </w:tc>
        <w:tc>
          <w:tcPr>
            <w:tcW w:w="7027" w:type="dxa"/>
          </w:tcPr>
          <w:p>
            <w:pPr>
              <w:rPr>
                <w:rFonts w:cs="Arial"/>
                <w:sz w:val="18"/>
                <w:szCs w:val="18"/>
              </w:rPr>
            </w:pPr>
            <w:r>
              <w:rPr>
                <w:rFonts w:cs="Arial"/>
                <w:sz w:val="18"/>
                <w:szCs w:val="18"/>
              </w:rPr>
              <w:t>15 m²</w:t>
            </w:r>
          </w:p>
        </w:tc>
      </w:tr>
      <w:tr>
        <w:trPr>
          <w:jc w:val="center"/>
        </w:trPr>
        <w:tc>
          <w:tcPr>
            <w:tcW w:w="3343" w:type="dxa"/>
            <w:shd w:val="clear" w:color="auto" w:fill="auto"/>
          </w:tcPr>
          <w:p>
            <w:pPr>
              <w:rPr>
                <w:rFonts w:cs="Arial"/>
                <w:sz w:val="18"/>
                <w:szCs w:val="18"/>
              </w:rPr>
            </w:pPr>
            <w:r>
              <w:rPr>
                <w:rFonts w:cs="Arial"/>
                <w:sz w:val="18"/>
                <w:szCs w:val="18"/>
              </w:rPr>
              <w:t>Profondeur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à l'habitation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limites de la parcelle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arbres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dimensionnement du traitement est-il connu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environ 15 m²</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5 m de l'habitation</w:t>
            </w:r>
          </w:p>
        </w:tc>
        <w:tc>
          <w:tcPr>
            <w:tcW w:w="7027" w:type="dxa"/>
          </w:tcPr>
          <w:p>
            <w:pPr>
              <w:rPr>
                <w:rFonts w:cs="Arial"/>
                <w:sz w:val="18"/>
                <w:szCs w:val="18"/>
              </w:rPr>
            </w:pPr>
            <w:r>
              <w:rPr>
                <w:rFonts w:cs="Arial"/>
                <w:sz w:val="18"/>
                <w:szCs w:val="18"/>
              </w:rPr>
              <w:t xml:space="preserve">Oui </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 tout arbre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des limites de la parcelle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35 m d'un captage utilisé pour la consommation humaine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Est-ce que l'aménagement du terrain gêne le fonctionnement de la filière de traitement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pourquoi et quels sont les risques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Dysfonctionnements observés au niveau du traitement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lastRenderedPageBreak/>
              <w:t>Si oui, préciser (colmatage, stagnation d'eau en surface,...)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traitement</w:t>
            </w:r>
          </w:p>
        </w:tc>
        <w:tc>
          <w:tcPr>
            <w:tcW w:w="7027" w:type="dxa"/>
          </w:tcPr>
          <w:p>
            <w:pPr>
              <w:rPr>
                <w:rFonts w:cs="Arial"/>
                <w:sz w:val="18"/>
                <w:szCs w:val="18"/>
              </w:rPr>
            </w:pPr>
            <w:r>
              <w:rPr>
                <w:rFonts w:cs="Arial"/>
                <w:sz w:val="18"/>
                <w:szCs w:val="18"/>
              </w:rPr>
              <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du préfiltre et les eaux ménagères de la salle de bain de l'étage et de la cuisine</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Fossé</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Les eaux ménagères de la cuisine et de la salle de bain de l’étage ne semblent pas être raccordées sur le bac dégraisseur, l'acquéreur devra les raccorder dessus ou installer un bac dégraisseur ces effluents.</w:t>
              <w:br/>
              <w:t>Vérifier l'existence d'une ventilation sur la fosse septique, le cas échéant en créer une.</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