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3378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15/12/2021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695  CHEMIN DU BAS DE GARDEFORT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861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LE PAPE Lucienne, Eric et Sylviane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GODINOU Sylviane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Rue des Landes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45420 Bonny-sur-Loire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2771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les eaux ménagères de la cuisine et a priori du chauffe eau, pas de couvercle.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de l’installation d’assainissement. Toutefois, les caractéristiques du traitement secondaire ne sont pas identifiables.</w:t>
              <w:br/>
              <w:t>Modifier la ventilation secondaire de la fosse et ajouter un couvercle pour le regard de la cuisine pour rendre le regard étanche.</w:t>
              <w:br/>
              <w:t>L'installation est en état de fonctionnement, toutefois, celle ci est vieillissante et les tranchées se situent dans un terrain relativement arboré (présence potentielle de racines dans les drains).</w:t>
              <w:br/>
              <w:t>Nous ne pouvons pas garantir le bon fonctionnement de l'installation à court ou long terme, une fois la maison à nouveau habitée.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