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143-13525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du Lavoir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EVRY D EN BAS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140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MALHERBE Marlène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Allée Charles MUNCH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78 430 Louveciennes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1 060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Non</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fissure, fosse endommagée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Non</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Non vérifiable lors du contrôle, terrain en friche</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25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Quel que soit son dimensionnement, une tranchée d’épandage unique est toujours considérée comme signiﬁcativement sous-dimensionnée par la réglementation. Il faut un minimum de deux tranchées d’épandage pour assurer un traitement secondaire et une inﬁltration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