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SAINT LOUP</w:t>
      </w:r>
    </w:p>
    <w:p>
      <w:pPr>
        <w:ind w:left="708"/>
        <w:rPr>
          <w:rFonts w:cstheme="minorHAnsi"/>
          <w:szCs w:val="20"/>
        </w:rPr>
      </w:pPr>
      <w:r>
        <w:rPr>
          <w:sz w:val="36"/>
          <w:szCs w:val="36"/>
        </w:rPr>
        <w:t xml:space="preserve">Adresse du bien : </w:t>
      </w:r>
      <w:r>
        <w:rPr>
          <w:sz w:val="28"/>
          <w:szCs w:val="36"/>
        </w:rPr>
        <w:t xml:space="preserve">4  rue de l'aubié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WILLEMS Arthur</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25/02/2019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WILLEMS Arthur</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ZE 172</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22/02/2019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WILLEMS Arthur</w:t>
            </w:r>
          </w:p>
          <w:p>
            <w:pPr>
              <w:spacing w:after="0" w:line="240" w:lineRule="auto"/>
              <w:rPr>
                <w:rFonts w:cstheme="minorHAnsi"/>
              </w:rPr>
            </w:pPr>
            <w:r>
              <w:rPr>
                <w:rFonts w:cstheme="minorHAnsi"/>
              </w:rPr>
              <w:t>Adresse : 4  rue de l'aubié Commune de SAINT LOUP</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22/02/2019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