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1961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12  RUE DU MARDRON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46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PATERCK Marian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12      RUE DU MARDRON </w:t>
            </w:r>
            <w:r>
              <w:rPr>
                <w:sz w:val="18"/>
                <w:szCs w:val="18"/>
              </w:rPr>
              <w:t/>
            </w:r>
          </w:p>
          <w:p>
            <w:pPr>
              <w:rPr>
                <w:rFonts w:asciiTheme="minorHAnsi" w:hAnsiTheme="minorHAnsi" w:cstheme="minorHAnsi"/>
                <w:szCs w:val="20"/>
              </w:rPr>
            </w:pPr>
            <w:r>
              <w:rPr>
                <w:rFonts w:asciiTheme="minorHAnsi" w:hAnsiTheme="minorHAnsi" w:cstheme="minorHAnsi"/>
                <w:szCs w:val="20"/>
              </w:rPr>
              <w:t>58200 SAINT PERE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1800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DEBUT DE CORROSION</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Puisard recevant les eaux ménagères de la cuisine et les eaux pluviales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infiltration sur la parcelle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Puisard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Puisard recevant le trop plein du préfiltre, le trop plein du puisard n°1 et les eaux ménagères de la salle de bain.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Milieu hydraulique superficiel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Réseau d'eaux pluviales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Eaux ménagères brutes et eaux vannes prétraitées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Trop plein du puisard dans le réseau d'eaux pluviales communal.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