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La Piquerie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74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RATCLIFF Norma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St Radiguns Street, Canterbury </w:t>
            </w:r>
            <w:r>
              <w:rPr>
                <w:sz w:val="18"/>
                <w:szCs w:val="18"/>
              </w:rPr>
              <w:t>CT1 2AA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KENT  Royaume-Uni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643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Les travaux devront être réalisés dans un délai d’un an à compter de la signature authentique de l’acte de vente.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