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2021_22749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46  Avenue du 85 Eme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AS 71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BERAET Henri</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Allée du Morvan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605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Non</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
            </w:r>
          </w:p>
        </w:tc>
      </w:tr>
    </w:tbl>
    <w:p w14:paraId="62427354"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collecte les eaux ménagères de la salle de bain et le trop plein de la fosse septique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marque le départ de la tranchée drainante</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20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Oui</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Ou prévoir le raccordement de l'ensemble des eaux usées au réseau d'assainissement collectif nécessitant probablement une pompe de relevage</w:t>
              <w:br/>
              <w:t>Lors du contrôle, l'alimentation en eau potable étant coupée, nous n'avons pas pu vérifier les écoulements d'eaux usées.</w:t>
              <w:br/>
              <w:t xml:space="preserve">Quel que soit son dimensionnement, une tranchée d’épandage unique est toujours considérée comme </w:t>
              <w:br/>
              <w:t>signiﬁcativement sous-dimensionnée par la réglementation. Il faut un minimum de deux tranchées d’épandage pour assurer un traitement secondaire et une inﬁltration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