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2021_22733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2004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Rue du Charron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MARTIN SUR NOHAIN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120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RESTES Maxime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30      Rue ABADIE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33130 Bègles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regard de bouclage en charge lors du contrôle, signes de saturation</w:t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en charge lors du contrôle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Lors du contrôle, l'alimentation en eau potable étant coupée, nous n'avons pas pu vérifier les écoulements d'eaux usées.</w:t>
              <w:br/>
              <w:t>L'installation d'assainissement non collectif est complète, munie d'un prétraitement et d'un traitement. Toutefois, lors du contrôle le regard de bouclage du filtre à sable était en charge, ce qui présume un dysfonctionnement tel qu'un début de saturation du système.</w:t>
              <w:br/>
              <w:t>L'acquéreur devra être vigilent sur le fonctionnement et en cas de saturation du filtre à sable, il faudra prévoir la réhabilitation de celui ci.</w:t>
              <w:br/>
              <w:t>La fosse devra être vidangée impérativement.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