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2019_22586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02/12/2020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TORRES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KAICHOUH Abel et France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27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Cèdres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 Maltaverne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146p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Lors du contrôle, l'installation de la ventilation n'était pas terminée.</w:t>
        <w:br/>
        <w:t>Lors du contrôle, nous avons constaté que le remblai de finition était supérieur aux prescriptions techniques du fournisseur. Le fabricant indique maximum 3 rehausses au niveau du remblai de finition, or 4 rehausses ont été installées sur cette filière.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KAICHOUH Abel et France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Maltaverne Commune de TRACY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02/12/2020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