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La Bretonniere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SIBLEY</w:t>
      </w:r>
      <w:proofErr w:type="spellStart"/>
      <w:r>
        <w:rPr>
          <w:rFonts w:cstheme="minorHAnsi"/>
          <w:sz w:val="28"/>
          <w:szCs w:val="36"/>
        </w:rPr>
        <w:t/>
      </w:r>
      <w:proofErr w:type="spellEnd"/>
      <w:r>
        <w:rPr>
          <w:rFonts w:cstheme="minorHAnsi"/>
          <w:sz w:val="28"/>
          <w:szCs w:val="36"/>
        </w:rPr>
        <w:t xml:space="preserve">  John et Gillian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15/07/2020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SIBLEY</w:t>
      </w:r>
      <w:proofErr w:type="spellStart"/>
      <w:r>
        <w:rPr>
          <w:rFonts w:eastAsia="Times New Roman" w:cstheme="minorHAnsi"/>
        </w:rPr>
        <w:t/>
      </w:r>
      <w:proofErr w:type="spellEnd"/>
      <w:r>
        <w:rPr>
          <w:rFonts w:eastAsia="Times New Roman" w:cstheme="minorHAnsi"/>
        </w:rPr>
        <w:t xml:space="preserve">  John et Gillian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AI</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49</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15/07/2020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SIBLEY</w:t>
            </w:r>
            <w:proofErr w:type="spellStart"/>
            <w:r>
              <w:rPr>
                <w:rFonts w:eastAsia="Times New Roman" w:cstheme="minorHAnsi"/>
              </w:rPr>
              <w:t/>
            </w:r>
            <w:proofErr w:type="spellEnd"/>
            <w:r>
              <w:rPr>
                <w:rFonts w:eastAsia="Times New Roman" w:cstheme="minorHAnsi"/>
              </w:rPr>
              <w:t xml:space="preserve">  John et Gillian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La Bretonniere</w:t>
            </w:r>
            <w:proofErr w:type="spellStart"/>
            <w:r>
              <w:rPr>
                <w:rFonts w:cstheme="minorHAnsi"/>
              </w:rPr>
              <w:t/>
            </w:r>
            <w:proofErr w:type="spellEnd"/>
            <w:r>
              <w:rPr>
                <w:rFonts w:cstheme="minorHAnsi"/>
              </w:rPr>
              <w:t xml:space="preserve"> Commune de  Commune de DONZY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