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caj_447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24/06/2020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La Roderie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ALLIGNY COSNE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ZR 57</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GUERUE Michèle et Françoise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58      RUE HAXO </w:t>
            </w:r>
            <w:r>
              <w:rPr>
                <w:sz w:val="18"/>
                <w:szCs w:val="18"/>
              </w:rPr>
              <w:t/>
            </w:r>
          </w:p>
          <w:p>
            <w:pPr>
              <w:rPr>
                <w:rFonts w:asciiTheme="minorHAnsi" w:hAnsiTheme="minorHAnsi" w:cstheme="minorHAnsi"/>
                <w:szCs w:val="20"/>
              </w:rPr>
            </w:pPr>
            <w:r>
              <w:rPr>
                <w:rFonts w:asciiTheme="minorHAnsi" w:hAnsiTheme="minorHAnsi" w:cstheme="minorHAnsi"/>
                <w:szCs w:val="20"/>
              </w:rPr>
              <w:t>75020 PARIS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700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collecte les eaux ménagères de la cuisine et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rFonts w:cs="Arial"/>
          <w:sz w:val="18"/>
          <w:szCs w:val="18"/>
        </w:rPr>
      </w:pPr>
      <w:r>
        <w:rPr>
          <w:rFonts w:cs="Arial"/>
          <w:sz w:val="18"/>
          <w:szCs w:val="18"/>
        </w:rPr>
        <w:t/>
      </w:r>
    </w:p>
    <w:p>
      <w:pPr>
        <w:ind w:left="284"/>
        <w:rPr>
          <w:rFonts w:ascii="Impact" w:hAnsi="Impact"/>
          <w:color w:val="FFC000"/>
          <w:kern w:val="28"/>
          <w:sz w:val="24"/>
          <w:szCs w:val="28"/>
        </w:rPr>
      </w:pPr>
      <w:r>
        <w:rPr>
          <w:rFonts w:asciiTheme="minorHAnsi" w:hAnsiTheme="minorHAnsi" w:cstheme="minorHAnsi"/>
          <w:color w:val="FF9900"/>
          <w:kern w:val="28"/>
          <w:sz w:val="28"/>
          <w:szCs w:val="28"/>
        </w:rPr>
        <w:t>Le traitement : Plateau absorbant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Longueur en m / ml</w:t>
            </w:r>
          </w:p>
        </w:tc>
        <w:tc>
          <w:tcPr>
            <w:tcW w:w="7027" w:type="dxa"/>
          </w:tcPr>
          <w:p>
            <w:pPr>
              <w:rPr>
                <w:rFonts w:cs="Arial"/>
                <w:sz w:val="18"/>
                <w:szCs w:val="18"/>
              </w:rPr>
            </w:pPr>
            <w:r>
              <w:rPr>
                <w:rFonts w:cs="Arial"/>
                <w:sz w:val="18"/>
                <w:szCs w:val="18"/>
              </w:rPr>
              <w:t>4 m</w:t>
            </w:r>
          </w:p>
        </w:tc>
      </w:tr>
      <w:tr>
        <w:trPr>
          <w:jc w:val="center"/>
        </w:trPr>
        <w:tc>
          <w:tcPr>
            <w:tcW w:w="3343" w:type="dxa"/>
            <w:shd w:val="clear" w:color="auto" w:fill="auto"/>
          </w:tcPr>
          <w:p>
            <w:pPr>
              <w:rPr>
                <w:rFonts w:cs="Arial"/>
                <w:sz w:val="18"/>
                <w:szCs w:val="18"/>
              </w:rPr>
            </w:pPr>
            <w:r>
              <w:rPr>
                <w:rFonts w:cs="Arial"/>
                <w:sz w:val="18"/>
                <w:szCs w:val="18"/>
              </w:rPr>
              <w:t>Largeur en m</w:t>
            </w:r>
          </w:p>
        </w:tc>
        <w:tc>
          <w:tcPr>
            <w:tcW w:w="7027" w:type="dxa"/>
          </w:tcPr>
          <w:p>
            <w:pPr>
              <w:rPr>
                <w:rFonts w:cs="Arial"/>
                <w:sz w:val="18"/>
                <w:szCs w:val="18"/>
              </w:rPr>
            </w:pPr>
            <w:r>
              <w:rPr>
                <w:rFonts w:cs="Arial"/>
                <w:sz w:val="18"/>
                <w:szCs w:val="18"/>
              </w:rPr>
              <w:t>3 m</w:t>
            </w:r>
          </w:p>
        </w:tc>
      </w:tr>
      <w:tr>
        <w:trPr>
          <w:jc w:val="center"/>
        </w:trPr>
        <w:tc>
          <w:tcPr>
            <w:tcW w:w="3343" w:type="dxa"/>
            <w:shd w:val="clear" w:color="auto" w:fill="auto"/>
          </w:tcPr>
          <w:p>
            <w:pPr>
              <w:rPr>
                <w:rFonts w:cs="Arial"/>
                <w:sz w:val="18"/>
                <w:szCs w:val="18"/>
              </w:rPr>
            </w:pPr>
            <w:r>
              <w:rPr>
                <w:rFonts w:cs="Arial"/>
                <w:sz w:val="18"/>
                <w:szCs w:val="18"/>
              </w:rPr>
              <w:t>Surface en m²</w:t>
            </w:r>
          </w:p>
        </w:tc>
        <w:tc>
          <w:tcPr>
            <w:tcW w:w="7027" w:type="dxa"/>
          </w:tcPr>
          <w:p>
            <w:pPr>
              <w:rPr>
                <w:rFonts w:cs="Arial"/>
                <w:sz w:val="18"/>
                <w:szCs w:val="18"/>
              </w:rPr>
            </w:pPr>
            <w:r>
              <w:rPr>
                <w:rFonts w:cs="Arial"/>
                <w:sz w:val="18"/>
                <w:szCs w:val="18"/>
              </w:rPr>
              <w:t>12 m²</w:t>
            </w:r>
          </w:p>
        </w:tc>
      </w:tr>
      <w:tr>
        <w:trPr>
          <w:jc w:val="center"/>
        </w:trPr>
        <w:tc>
          <w:tcPr>
            <w:tcW w:w="3343" w:type="dxa"/>
            <w:shd w:val="clear" w:color="auto" w:fill="auto"/>
          </w:tcPr>
          <w:p>
            <w:pPr>
              <w:rPr>
                <w:rFonts w:cs="Arial"/>
                <w:sz w:val="18"/>
                <w:szCs w:val="18"/>
              </w:rPr>
            </w:pPr>
            <w:r>
              <w:rPr>
                <w:rFonts w:cs="Arial"/>
                <w:sz w:val="18"/>
                <w:szCs w:val="18"/>
              </w:rPr>
              <w:t>Profondeur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à l'habitation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limites de la parcelle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Distance minimum par rapport aux arbres en m</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du traitement est-il connu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environ 12 m²</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5 m de l'habitation</w:t>
            </w:r>
          </w:p>
        </w:tc>
        <w:tc>
          <w:tcPr>
            <w:tcW w:w="7027" w:type="dxa"/>
          </w:tcPr>
          <w:p>
            <w:pPr>
              <w:rPr>
                <w:rFonts w:cs="Arial"/>
                <w:sz w:val="18"/>
                <w:szCs w:val="18"/>
              </w:rPr>
            </w:pPr>
            <w:r>
              <w:rPr>
                <w:rFonts w:cs="Arial"/>
                <w:sz w:val="18"/>
                <w:szCs w:val="18"/>
              </w:rPr>
              <w:t xml:space="preserve">Oui </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 tout arbre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 m des limites de la parcelle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traitement est-il positionné à au moins 35 m d'un captage utilisé pour la consommation humaine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Est-ce que l'aménagement du terrain gêne le fonctionnement de la filière de traitement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pourquoi et quels sont les risques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Dysfonctionnements observés au niveau du traitement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lastRenderedPageBreak/>
              <w:t>Si oui, préciser (colmatage, stagnation d'eau en surface,...)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traitement</w:t>
            </w:r>
          </w:p>
        </w:tc>
        <w:tc>
          <w:tcPr>
            <w:tcW w:w="7027" w:type="dxa"/>
          </w:tcPr>
          <w:p>
            <w:pPr>
              <w:rPr>
                <w:rFonts w:cs="Arial"/>
                <w:sz w:val="18"/>
                <w:szCs w:val="18"/>
              </w:rPr>
            </w:pPr>
            <w:r>
              <w:rPr>
                <w:rFonts w:cs="Arial"/>
                <w:sz w:val="18"/>
                <w:szCs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répartition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L'écoulement des effluents est-il correct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Bonne équirépartition des effluents ? (Vérification possible par mise en eaux du regard)</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r>
              <w:rPr>
                <w:sz w:val="18"/>
              </w:rPr>
              <w:lastRenderedPageBreak/>
              <w:t/>
            </w:r>
          </w:p>
        </w:tc>
        <w:tc>
          <w:tcPr>
            <w:tcW w:w="7027" w:type="dxa"/>
          </w:tcPr>
          <w:p>
            <w:pPr>
              <w:rPr>
                <w:sz w:val="18"/>
              </w:rPr>
            </w:pPr>
            <w:r>
              <w:rPr>
                <w:sz w:val="18"/>
              </w:rPr>
              <w:lastRenderedPageBreak/>
              <w:t/>
            </w:r>
          </w:p>
        </w:tc>
      </w:tr>
    </w:tbl>
    <w:p>
      <w:pPr>
        <w:rPr>
          <w:sz w:val="18"/>
        </w:rPr>
      </w:pPr>
      <w:r>
        <w:rPr>
          <w:sz w:val="18"/>
        </w:rPr>
        <w:lastRenderedPageBreak/>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Mettre en place un prétraitement pour les eaux ménagères</w:t>
              <w:br/>
              <w:t>Modifier la ventilation secondaire de la fosse</w:t>
              <w:br/>
              <w:t>Les ﬁltres bactériens percolateurs ou plateau absorbant ne sont plus autorisés comme dispositif de traitement depuis l’arrêté du 6 mai 1996 ﬁxant les prescriptions techniques applicables aux systèmes d’assainissement non collectif.</w:t>
              <w:br/>
              <w:t>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