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4486275</wp:posOffset>
            </wp:positionH>
            <wp:positionV relativeFrom="paragraph">
              <wp:posOffset>104140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1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p14="http://schemas.microsoft.com/office/word/2010/wordprocessingDrawing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2019_22599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11/12/2019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TP AMOGNES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Commune</w:t>
      </w:r>
      <w:r>
        <w:rPr>
          <w:rFonts w:asciiTheme="minorHAnsi" w:hAnsiTheme="minorHAnsi" w:cstheme="minorHAnsi"/>
          <w:sz w:val="22"/>
          <w:szCs w:val="22"/>
        </w:rPr>
        <w:t xml:space="preserve"> TRACY SUR LOIRE Atelier communal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rue de la mairie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Boisgibault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tracy sur loire  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14  Rue des Gominets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D 1018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709" w:firstLine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  440 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5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2017-003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8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ECOROCK Solution 8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Réseau d'eaux pluviales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Commune TRACY SUR LOIRE Atelier communal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14  Rue des Gominets Commune de TRACY SUR LOIRE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11/12/2019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aeae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oeurdeloire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1227</Words>
  <Characters>6751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7963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rf</cp:lastModifiedBy>
  <cp:lastPrinted>2009-07-23T15:15:00Z</cp:lastPrinted>
  <dcterms:modified xsi:type="dcterms:W3CDTF">2019-12-20T09:02:00Z</dcterms:modified>
  <cp:revision>6</cp:revision>
  <dc:title>Assainissement non collectif : Contrôle de réalisation</dc:title>
</cp:coreProperties>
</file>