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les cassons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339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SCI PIU M'ROUE Nadim</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115      Avenue PASTEUR </w:t>
            </w:r>
            <w:r>
              <w:rPr>
                <w:sz w:val="18"/>
                <w:szCs w:val="18"/>
              </w:rPr>
              <w:t/>
            </w:r>
          </w:p>
          <w:p>
            <w:pPr>
              <w:rPr>
                <w:rFonts w:asciiTheme="minorHAnsi" w:hAnsiTheme="minorHAnsi" w:cstheme="minorHAnsi"/>
                <w:szCs w:val="20"/>
              </w:rPr>
            </w:pPr>
            <w:r>
              <w:rPr>
                <w:rFonts w:asciiTheme="minorHAnsi" w:hAnsiTheme="minorHAnsi" w:cstheme="minorHAnsi"/>
                <w:szCs w:val="20"/>
              </w:rPr>
              <w:t xml:space="preserve">93260 LES LILAS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7</w:t>
            </w:r>
          </w:p>
          <w:p>
            <w:pPr>
              <w:rPr>
                <w:rFonts w:asciiTheme="minorHAnsi" w:hAnsiTheme="minorHAnsi" w:cstheme="minorHAnsi"/>
              </w:rPr>
            </w:pPr>
            <w:r>
              <w:rPr>
                <w:rFonts w:asciiTheme="minorHAnsi" w:hAnsiTheme="minorHAnsi" w:cstheme="minorHAnsi"/>
              </w:rPr>
              <w:t>Nombre de pièces principales : 8</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12349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3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Lors du contrôle, aucune installation d'assainissement non collectif n'a pu être vérifiée, il semblerait qu'il existe une installation pour chaque logement.</w:t>
              <w:br/>
              <w:t>L'acquéreur aura l'obligation de rendre accessible les regards des ouvrages pour prouver l'existence d'un système d'assainissement réglementaire.</w:t>
              <w:br/>
              <w:t>Le cas échéant,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