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QUENTIN SUR NOHAIN</w:t>
      </w:r>
    </w:p>
    <w:p>
      <w:pPr>
        <w:ind w:left="708"/>
        <w:rPr>
          <w:rFonts w:cstheme="minorHAnsi"/>
          <w:szCs w:val="20"/>
        </w:rPr>
      </w:pPr>
      <w:r>
        <w:rPr>
          <w:sz w:val="36"/>
          <w:szCs w:val="36"/>
        </w:rPr>
        <w:t xml:space="preserve">Adresse du bien : </w:t>
      </w:r>
      <w:r>
        <w:rPr>
          <w:sz w:val="28"/>
          <w:szCs w:val="36"/>
        </w:rPr>
        <w:t xml:space="preserve">1  Rue du crot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BEAUVOIS Jacqueline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18/06/2019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BEAUVOIS Jacqueline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B 374</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17/06/2019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BEAUVOIS Jacqueline</w:t>
            </w:r>
          </w:p>
          <w:p>
            <w:pPr>
              <w:spacing w:after="0" w:line="240" w:lineRule="auto"/>
              <w:rPr>
                <w:rFonts w:cstheme="minorHAnsi"/>
              </w:rPr>
            </w:pPr>
            <w:r>
              <w:rPr>
                <w:rFonts w:cstheme="minorHAnsi"/>
              </w:rPr>
              <w:t>Adresse : 1  Rue du crot Commune de SAINT QUENTIN SUR NOHAIN</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17/06/2019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