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pPr>
        <w:ind w:left="708"/>
        <w:rPr>
          <w:rFonts w:cstheme="minorHAnsi"/>
          <w:szCs w:val="20"/>
        </w:rPr>
      </w:pPr>
      <w:r>
        <w:rPr>
          <w:sz w:val="36"/>
          <w:szCs w:val="36"/>
        </w:rPr>
        <w:t xml:space="preserve">Adresse du bien : </w:t>
      </w:r>
      <w:r>
        <w:rPr>
          <w:sz w:val="28"/>
          <w:szCs w:val="36"/>
        </w:rPr>
        <w:t xml:space="preserve">  Rue du Moulin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LAFILLE Nelly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LAFILLE Nelly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1183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LAFILLE Nelly</w:t>
            </w:r>
          </w:p>
          <w:p>
            <w:pPr>
              <w:spacing w:after="0" w:line="240" w:lineRule="auto"/>
              <w:rPr>
                <w:rFonts w:cstheme="minorHAnsi"/>
              </w:rPr>
            </w:pPr>
            <w:r>
              <w:rPr>
                <w:rFonts w:cstheme="minorHAnsi"/>
              </w:rPr>
              <w:t>Adresse :   Rue du Moulin Commune de SAINT QUENTIN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