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2019_22541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15/04/2019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2012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La Vièvre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58450 ANNAY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ZK 108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MARCINIAK Mathieu et Emilie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La Vièvre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58450 ANNAY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2012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4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4193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avis de conception avant travaux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vidange de la fosse devra être faite avant la vente</w:t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40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  <w:bookmarkStart w:id="0" w:name="_GoBack"/>
            <w:bookmarkEnd w:id="0"/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absence du regard de bouclage des drains de répartition du filtre à sable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contrôle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lors du contrôle, nous n'avons pas pu vérifier le rejet au fossé, la conduite n'était pas visible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rejet au fossé devra être dégagé pour permettre un bon écoulement des eaux de sortie de filtre à sable.</w:t>
              <w:br/>
              <w:t>L’acquéreur devra maintenir l’installation en bon état de fonctionnement en réalisant un entretien régulier des ouvrages.</w:t>
              <w:br/>
              <w:t>Une vidange devra être faite avant la vente de l'habitation.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