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caj_13725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12/02/2019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20  RUE DU CHAMP DE LA FORGE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SAINT PERE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AB 151</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GUISLAIN Françoise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14      Rue Alfred LAURANT </w:t>
            </w:r>
            <w:r>
              <w:rPr>
                <w:sz w:val="18"/>
                <w:szCs w:val="18"/>
              </w:rPr>
              <w:t/>
            </w:r>
          </w:p>
          <w:p>
            <w:pPr>
              <w:rPr>
                <w:rFonts w:asciiTheme="minorHAnsi" w:hAnsiTheme="minorHAnsi" w:cstheme="minorHAnsi"/>
                <w:szCs w:val="20"/>
              </w:rPr>
            </w:pPr>
            <w:r>
              <w:rPr>
                <w:rFonts w:asciiTheme="minorHAnsi" w:hAnsiTheme="minorHAnsi" w:cstheme="minorHAnsi"/>
                <w:szCs w:val="20"/>
              </w:rPr>
              <w:t xml:space="preserve">92100 BOULOGNE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8</w:t>
            </w:r>
          </w:p>
          <w:p>
            <w:pPr>
              <w:rPr>
                <w:rFonts w:asciiTheme="minorHAnsi" w:hAnsiTheme="minorHAnsi" w:cstheme="minorHAnsi"/>
              </w:rPr>
            </w:pPr>
            <w:r>
              <w:rPr>
                <w:rFonts w:asciiTheme="minorHAnsi" w:hAnsiTheme="minorHAnsi" w:cstheme="minorHAnsi"/>
              </w:rPr>
              <w:t>Nombre de pièces principales : 9</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9</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5000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 surface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une partie des eaux pluviales</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100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primaire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Cours d'eau</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brutes</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BON</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xml:space="preserve">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 xml:space="preserve">Type de rejet </w:t>
            </w:r>
          </w:p>
        </w:tc>
        <w:tc>
          <w:tcPr>
            <w:tcW w:w="7027" w:type="dxa"/>
          </w:tcPr>
          <w:p>
            <w:pPr>
              <w:rPr>
                <w:rFonts w:cs="Arial"/>
                <w:sz w:val="18"/>
                <w:szCs w:val="18"/>
              </w:rPr>
            </w:pPr>
            <w:r>
              <w:rPr>
                <w:rFonts w:cs="Arial"/>
                <w:sz w:val="18"/>
                <w:szCs w:val="18"/>
              </w:rPr>
              <w:t xml:space="preserve">Milieu hydraulique superficiel </w:t>
            </w:r>
          </w:p>
        </w:tc>
      </w:tr>
      <w:tr>
        <w:trPr>
          <w:jc w:val="center"/>
        </w:trPr>
        <w:tc>
          <w:tcPr>
            <w:tcW w:w="3343" w:type="dxa"/>
            <w:shd w:val="clear" w:color="auto" w:fill="auto"/>
          </w:tcPr>
          <w:p>
            <w:pPr>
              <w:rPr>
                <w:rFonts w:cs="Arial"/>
                <w:sz w:val="18"/>
                <w:szCs w:val="18"/>
              </w:rPr>
            </w:pPr>
            <w:r>
              <w:rPr>
                <w:rFonts w:cs="Arial"/>
                <w:sz w:val="18"/>
                <w:szCs w:val="18"/>
              </w:rPr>
              <w:t xml:space="preserve">Lieu de rejet prévu ou actuel </w:t>
            </w:r>
          </w:p>
        </w:tc>
        <w:tc>
          <w:tcPr>
            <w:tcW w:w="7027" w:type="dxa"/>
          </w:tcPr>
          <w:p>
            <w:pPr>
              <w:rPr>
                <w:rFonts w:cs="Arial"/>
                <w:sz w:val="18"/>
                <w:szCs w:val="18"/>
              </w:rPr>
            </w:pPr>
            <w:r>
              <w:rPr>
                <w:rFonts w:cs="Arial"/>
                <w:sz w:val="18"/>
                <w:szCs w:val="18"/>
              </w:rPr>
              <w:t xml:space="preserve">Cours d'eau </w:t>
            </w:r>
          </w:p>
        </w:tc>
      </w:tr>
      <w:tr>
        <w:trPr>
          <w:jc w:val="center"/>
        </w:trPr>
        <w:tc>
          <w:tcPr>
            <w:tcW w:w="3343" w:type="dxa"/>
            <w:shd w:val="clear" w:color="auto" w:fill="auto"/>
          </w:tcPr>
          <w:p>
            <w:pPr>
              <w:rPr>
                <w:rFonts w:cs="Arial"/>
                <w:sz w:val="18"/>
                <w:szCs w:val="18"/>
              </w:rPr>
            </w:pPr>
            <w:r>
              <w:rPr>
                <w:rFonts w:cs="Arial"/>
                <w:sz w:val="18"/>
                <w:szCs w:val="18"/>
              </w:rPr>
              <w:t xml:space="preserve">Nature des eaux rejetées </w:t>
            </w:r>
          </w:p>
        </w:tc>
        <w:tc>
          <w:tcPr>
            <w:tcW w:w="7027" w:type="dxa"/>
          </w:tcPr>
          <w:p>
            <w:pPr>
              <w:rPr>
                <w:rFonts w:cs="Arial"/>
                <w:sz w:val="18"/>
                <w:szCs w:val="18"/>
              </w:rPr>
            </w:pPr>
            <w:r>
              <w:rPr>
                <w:rFonts w:cs="Arial"/>
                <w:sz w:val="18"/>
                <w:szCs w:val="18"/>
              </w:rPr>
              <w:t xml:space="preserve">Eaux prétraitées </w:t>
            </w:r>
          </w:p>
        </w:tc>
      </w:tr>
      <w:tr>
        <w:trPr>
          <w:jc w:val="center"/>
        </w:trPr>
        <w:tc>
          <w:tcPr>
            <w:tcW w:w="3343" w:type="dxa"/>
            <w:shd w:val="clear" w:color="auto" w:fill="auto"/>
          </w:tcPr>
          <w:p>
            <w:pPr>
              <w:rPr>
                <w:rFonts w:cs="Arial"/>
                <w:sz w:val="18"/>
                <w:szCs w:val="18"/>
              </w:rPr>
            </w:pPr>
            <w:r>
              <w:rPr>
                <w:rFonts w:cs="Arial"/>
                <w:sz w:val="18"/>
                <w:szCs w:val="18"/>
              </w:rPr>
              <w:t xml:space="preserve">Commentaire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Existe-t-il un rejet d'effluents vers le milieu superficiel ? </w:t>
            </w:r>
          </w:p>
        </w:tc>
        <w:tc>
          <w:tcPr>
            <w:tcW w:w="7027" w:type="dxa"/>
          </w:tcPr>
          <w:p>
            <w:pPr>
              <w:rPr>
                <w:rFonts w:cs="Arial"/>
                <w:sz w:val="18"/>
                <w:szCs w:val="18"/>
              </w:rPr>
            </w:pPr>
            <w:r>
              <w:rPr>
                <w:rFonts w:cs="Arial"/>
                <w:sz w:val="18"/>
                <w:szCs w:val="18"/>
              </w:rPr>
              <w:t xml:space="preserve">Oui </w:t>
            </w:r>
          </w:p>
        </w:tc>
      </w:tr>
      <w:tr>
        <w:trPr>
          <w:jc w:val="center"/>
        </w:trPr>
        <w:tc>
          <w:tcPr>
            <w:tcW w:w="3343" w:type="dxa"/>
            <w:shd w:val="clear" w:color="auto" w:fill="auto"/>
          </w:tcPr>
          <w:p>
            <w:pPr>
              <w:rPr>
                <w:rFonts w:cs="Arial"/>
                <w:sz w:val="18"/>
                <w:szCs w:val="18"/>
              </w:rPr>
            </w:pPr>
            <w:r>
              <w:rPr>
                <w:rFonts w:cs="Arial"/>
                <w:sz w:val="18"/>
                <w:szCs w:val="18"/>
              </w:rPr>
              <w:t xml:space="preserve">Si oui, s'agit-il d'effluents ? </w:t>
            </w:r>
          </w:p>
        </w:tc>
        <w:tc>
          <w:tcPr>
            <w:tcW w:w="7027" w:type="dxa"/>
          </w:tcPr>
          <w:p>
            <w:pPr>
              <w:rPr>
                <w:rFonts w:cs="Arial"/>
                <w:sz w:val="18"/>
                <w:szCs w:val="18"/>
              </w:rPr>
            </w:pPr>
            <w:r>
              <w:rPr>
                <w:rFonts w:cs="Arial"/>
                <w:sz w:val="18"/>
                <w:szCs w:val="18"/>
              </w:rPr>
              <w:t xml:space="preserve">Prétraités </w:t>
            </w:r>
          </w:p>
        </w:tc>
      </w:tr>
      <w:tr>
        <w:trPr>
          <w:jc w:val="center"/>
        </w:trPr>
        <w:tc>
          <w:tcPr>
            <w:tcW w:w="3343" w:type="dxa"/>
            <w:shd w:val="clear" w:color="auto" w:fill="auto"/>
          </w:tcPr>
          <w:p>
            <w:pPr>
              <w:rPr>
                <w:rFonts w:cs="Arial"/>
                <w:sz w:val="18"/>
                <w:szCs w:val="18"/>
              </w:rPr>
            </w:pPr>
            <w:r>
              <w:rPr>
                <w:rFonts w:cs="Arial"/>
                <w:sz w:val="18"/>
                <w:szCs w:val="18"/>
              </w:rPr>
              <w:t xml:space="preserve">Préciser : </w:t>
            </w:r>
          </w:p>
        </w:tc>
        <w:tc>
          <w:tcPr>
            <w:tcW w:w="7027" w:type="dxa"/>
          </w:tcPr>
          <w:p>
            <w:pPr>
              <w:rPr>
                <w:rFonts w:cs="Arial"/>
                <w:sz w:val="18"/>
                <w:szCs w:val="18"/>
              </w:rPr>
            </w:pPr>
            <w:r>
              <w:rPr>
                <w:rFonts w:cs="Arial"/>
                <w:sz w:val="18"/>
                <w:szCs w:val="18"/>
              </w:rPr>
              <w:t xml:space="preserve">Eaux vannes des toilettes prétraitées </w:t>
            </w:r>
          </w:p>
        </w:tc>
      </w:tr>
      <w:tr>
        <w:trPr>
          <w:jc w:val="center"/>
        </w:trPr>
        <w:tc>
          <w:tcPr>
            <w:tcW w:w="3343" w:type="dxa"/>
            <w:shd w:val="clear" w:color="auto" w:fill="auto"/>
          </w:tcPr>
          <w:p>
            <w:pPr>
              <w:rPr>
                <w:rFonts w:cs="Arial"/>
                <w:sz w:val="18"/>
                <w:szCs w:val="18"/>
              </w:rPr>
            </w:pPr>
            <w:r>
              <w:rPr>
                <w:rFonts w:cs="Arial"/>
                <w:sz w:val="18"/>
                <w:szCs w:val="18"/>
              </w:rPr>
              <w:t xml:space="preserve">Etat de l'exutoire (stagnation d'effluents, odeurs, dépôts...) : </w:t>
            </w:r>
          </w:p>
        </w:tc>
        <w:tc>
          <w:tcPr>
            <w:tcW w:w="7027" w:type="dxa"/>
          </w:tcPr>
          <w:p>
            <w:pPr>
              <w:rPr>
                <w:rFonts w:cs="Arial"/>
                <w:sz w:val="18"/>
                <w:szCs w:val="18"/>
              </w:rPr>
            </w:pPr>
            <w:r>
              <w:rPr>
                <w:rFonts w:cs="Arial"/>
                <w:sz w:val="18"/>
                <w:szCs w:val="18"/>
              </w:rPr>
              <w:t xml:space="preserve">BON </w:t>
            </w:r>
          </w:p>
        </w:tc>
      </w:tr>
      <w:tr>
        <w:trPr>
          <w:jc w:val="center"/>
        </w:trPr>
        <w:tc>
          <w:tcPr>
            <w:tcW w:w="3343" w:type="dxa"/>
            <w:shd w:val="clear" w:color="auto" w:fill="auto"/>
          </w:tcPr>
          <w:p>
            <w:pPr>
              <w:rPr>
                <w:rFonts w:cs="Arial"/>
                <w:sz w:val="18"/>
                <w:szCs w:val="18"/>
              </w:rPr>
            </w:pPr>
            <w:r>
              <w:rPr>
                <w:rFonts w:cs="Arial"/>
                <w:sz w:val="18"/>
                <w:szCs w:val="18"/>
              </w:rPr>
              <w:t xml:space="preserve">En cas de rejet hors de la parcelle, existe-t-il une autorisation du propriétaire sur le terrain duquel s’effectue le rejet ? </w:t>
            </w:r>
          </w:p>
        </w:tc>
        <w:tc>
          <w:tcPr>
            <w:tcW w:w="7027" w:type="dxa"/>
          </w:tcPr>
          <w:p>
            <w:pPr>
              <w:rPr>
                <w:rFonts w:cs="Arial"/>
                <w:sz w:val="18"/>
                <w:szCs w:val="18"/>
              </w:rPr>
            </w:pPr>
            <w:r>
              <w:rPr>
                <w:rFonts w:cs="Arial"/>
                <w:sz w:val="18"/>
                <w:szCs w:val="18"/>
              </w:rPr>
              <w:t xml:space="preserve">Non </w:t>
            </w:r>
          </w:p>
        </w:tc>
      </w:tr>
      <w:tr>
        <w:trPr>
          <w:jc w:val="center"/>
        </w:trPr>
        <w:tc>
          <w:tcPr>
            <w:tcW w:w="3343" w:type="dxa"/>
            <w:shd w:val="clear" w:color="auto" w:fill="auto"/>
          </w:tcPr>
          <w:p>
            <w:pPr>
              <w:rPr>
                <w:rFonts w:cs="Arial"/>
                <w:sz w:val="18"/>
                <w:szCs w:val="18"/>
              </w:rPr>
            </w:pPr>
            <w:r>
              <w:rPr>
                <w:rFonts w:cs="Arial"/>
                <w:sz w:val="18"/>
                <w:szCs w:val="18"/>
              </w:rPr>
              <w:t xml:space="preserve">Rejet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Commentaires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Existe-t-il un rejet d'effluents dans le sous-sol ? </w:t>
            </w:r>
          </w:p>
        </w:tc>
        <w:tc>
          <w:tcPr>
            <w:tcW w:w="7027" w:type="dxa"/>
          </w:tcPr>
          <w:p>
            <w:pPr>
              <w:rPr>
                <w:rFonts w:cs="Arial"/>
                <w:sz w:val="18"/>
                <w:szCs w:val="18"/>
              </w:rPr>
            </w:pPr>
            <w:r>
              <w:rPr>
                <w:rFonts w:cs="Arial"/>
                <w:sz w:val="18"/>
                <w:szCs w:val="18"/>
              </w:rPr>
              <w:t xml:space="preserve">Non </w:t>
            </w:r>
          </w:p>
        </w:tc>
      </w:tr>
      <w:tr>
        <w:trPr>
          <w:jc w:val="center"/>
        </w:trPr>
        <w:tc>
          <w:tcPr>
            <w:tcW w:w="3343" w:type="dxa"/>
            <w:shd w:val="clear" w:color="auto" w:fill="auto"/>
          </w:tcPr>
          <w:p>
            <w:pPr>
              <w:rPr>
                <w:rFonts w:cs="Arial"/>
                <w:sz w:val="18"/>
                <w:szCs w:val="18"/>
              </w:rPr>
            </w:pPr>
            <w:r>
              <w:rPr>
                <w:rFonts w:cs="Arial"/>
                <w:sz w:val="18"/>
                <w:szCs w:val="18"/>
              </w:rPr>
              <w:t xml:space="preserve">Si oui, s'agit-il d'effluents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Préciser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Ouvrage de rejet accessible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oui, infiltration des effluents bien assurée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Le rejet s'effectue t'il par un puit d'infiltration conforme à la réglementation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oui, existe-t-il une autorisation communale?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non, nature de l'ouvrage?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rejet par dispersion (tranchées), longueur des tranchées en m / ml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Rejet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Présence de regard(s) de contrôle et de répartition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L'infiltration fonctionne-t-elle correctement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Présence d'odeurs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Commentaires sur le rejet dans le sous-sol : </w:t>
            </w:r>
          </w:p>
        </w:tc>
        <w:tc>
          <w:tcPr>
            <w:tcW w:w="7027" w:type="dxa"/>
          </w:tcPr>
          <w:p>
            <w:pPr>
              <w:rPr>
                <w:rFonts w:cs="Arial"/>
                <w:sz w:val="18"/>
                <w:szCs w:val="18"/>
              </w:rPr>
            </w:pPr>
            <w:r>
              <w:rPr>
                <w:rFonts w:cs="Arial"/>
                <w:sz w:val="18"/>
                <w:szCs w:val="18"/>
              </w:rPr>
              <w:t xml:space="preserve"> </w:t>
            </w:r>
          </w:p>
        </w:tc>
      </w:tr>
    </w:tbl>
    <w:p>
      <w:pPr>
        <w:rPr>
          <w:rFonts w:cs="Arial"/>
          <w:sz w:val="18"/>
          <w:szCs w:val="18"/>
        </w:rPr>
      </w:pPr>
      <w:r>
        <w:rPr>
          <w:rFonts w:cs="Arial"/>
          <w:sz w:val="18"/>
          <w:szCs w:val="18"/>
        </w:rPr>
        <w:t xml:space="preserve">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