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MYENNES</w:t>
      </w:r>
    </w:p>
    <w:p>
      <w:pPr>
        <w:ind w:left="708"/>
        <w:rPr>
          <w:rFonts w:cstheme="minorHAnsi"/>
          <w:szCs w:val="20"/>
        </w:rPr>
      </w:pPr>
      <w:r>
        <w:rPr>
          <w:sz w:val="36"/>
          <w:szCs w:val="36"/>
        </w:rPr>
        <w:t xml:space="preserve">Adresse du bien : </w:t>
      </w:r>
      <w:r>
        <w:rPr>
          <w:sz w:val="28"/>
          <w:szCs w:val="36"/>
        </w:rPr>
        <w:t xml:space="preserve">1 bis Chemin de Neuvillotte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FORET Pascal Gerard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FORET Pascal Gerard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ZC 46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FORET Pascal Gerard</w:t>
            </w:r>
          </w:p>
          <w:p>
            <w:pPr>
              <w:spacing w:after="0" w:line="240" w:lineRule="auto"/>
              <w:rPr>
                <w:rFonts w:cstheme="minorHAnsi"/>
              </w:rPr>
            </w:pPr>
            <w:r>
              <w:rPr>
                <w:rFonts w:cstheme="minorHAnsi"/>
              </w:rPr>
              <w:t>Adresse : 1 bis Chemin de Neuvillotte Commune de MYENNES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