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
    <w:p>
      <w:pPr>
        <w:ind w:left="708"/>
        <w:rPr>
          <w:rFonts w:cstheme="minorHAnsi"/>
          <w:szCs w:val="20"/>
        </w:rPr>
      </w:pPr>
      <w:r>
        <w:rPr>
          <w:sz w:val="36"/>
          <w:szCs w:val="36"/>
        </w:rPr>
        <w:t xml:space="preserve">Adresse du bien : </w:t>
      </w:r>
      <w:r>
        <w:rPr>
          <w:sz w:val="28"/>
          <w:szCs w:val="36"/>
        </w:rPr>
        <w:t xml:space="preserve">21  Route d'Antibes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LECHEVIN Philippe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LECHEVIN Philippe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294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LECHEVIN Philippe</w:t>
            </w:r>
          </w:p>
          <w:p>
            <w:pPr>
              <w:spacing w:after="0" w:line="240" w:lineRule="auto"/>
              <w:rPr>
                <w:rFonts w:cstheme="minorHAnsi"/>
              </w:rPr>
            </w:pPr>
            <w:r>
              <w:rPr>
                <w:rFonts w:cstheme="minorHAnsi"/>
              </w:rPr>
              <w:t>Adresse : 21  Route d'Antibes Commune de MESVES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25-09-2018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