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caj_19561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02/02/2021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2 007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Route de l’Acotin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58 220 SAINTE COLOMBE DES BOIS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68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CATHELIN Herve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47      Route des 2 villages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1 806 SAINT LEGIER  Suisse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22 673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des travaux de 2007, photos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semble recevoir les eaux ménagères d'une salle d'eau et les eaux vannes des toilettes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Mixte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Non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terrain inondé</w:t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en charge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en charge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☑ OUI  ☐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Lors du contrôle, le terrain de la propriété était totalement inondé, l'eau de ruissellement a recouvert l'ensemble des ouvrages de l'installation.</w:t>
              <w:br/>
              <w:t>Nous n'avons pas pu vérifier les ouvrages correctement, ni les écoulements des eaux usées.</w:t>
              <w:br/>
              <w:t>Compte tenu de la présence d'eau souterraine dans le terrain, nous ne pouvons pas garantir que le système d'assainissement pourra fonctionner dans des conditions telles durant plusieurs années.</w:t>
              <w:br/>
              <w:t>En cas de dysfonctionnement total de l'assainissement, il faudra prévoir la mise en place d'un système approprié au terrain inondé pouvant être immergé dans une nappe d'eau.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