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5990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152  Chemin des vignes rotis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632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PROVASI Elisabeth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26  rue du Docteur Schweitzer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77810 THOMERY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1996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des travaux, demande de travaux, facture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l'ensemble des eaux usées de l'habitation.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50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Indépendant de la fosse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il s'agit en réalité d'un regard muni d'un filet de matériaux filtrants.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préfiltre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Préfiltre à matériau filtrant : présence du matériau de remplissage adapté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Colmatage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au sein du préfiltre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Regard affleurant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Araignée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24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une tranchée de 10 ml et une tranchée de 24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dimensionnement de la fosse toutes eaux est adapté pour une habitation comprenant 3 chambres, l'habitation comporte actuellement 4 chambres.</w:t>
              <w:br/>
              <w:t>L'acquéreur devra dégager le regard de répartition des tranchées et modifier le système de traitement actuel pour obtenir 45 ml de tranchées au total.</w:t>
              <w:br/>
              <w:t xml:space="preserve">En fonction du nombre de chambres définitives de l'habitation, l'installation devra être mise en conformité: </w:t>
              <w:br/>
              <w:t>Pour 3 chambres, Fosse toutes eaux de 3000 L et épandage de 45 ml</w:t>
              <w:br/>
              <w:t>Pour 4 chambres, fosse toutes eaux de 4000 L et épandage de 54 ml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