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ANNAY</w:t>
      </w:r>
    </w:p>
    <w:p>
      <w:pPr>
        <w:ind w:left="708"/>
        <w:rPr>
          <w:rFonts w:cstheme="minorHAnsi"/>
          <w:szCs w:val="20"/>
        </w:rPr>
      </w:pPr>
      <w:r>
        <w:rPr>
          <w:sz w:val="36"/>
          <w:szCs w:val="36"/>
        </w:rPr>
        <w:t xml:space="preserve">Adresse du bien : </w:t>
      </w:r>
      <w:r>
        <w:rPr>
          <w:sz w:val="28"/>
          <w:szCs w:val="36"/>
        </w:rPr>
        <w:t xml:space="preserve">313  LES CHETITES VIGNES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BOGERMAN Gerrit</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22/06/2018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BOGERMAN Gerrit</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ZE 62</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04-06-2018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Monsieur BAARDMAN Pierre</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Monsieur BOGERMAN Gerrit</w:t>
            </w:r>
          </w:p>
          <w:p>
            <w:pPr>
              <w:spacing w:line="240" w:lineRule="auto"/>
              <w:rPr>
                <w:rFonts w:cstheme="minorHAnsi"/>
              </w:rPr>
            </w:pPr>
            <w:r>
              <w:rPr>
                <w:rFonts w:cstheme="minorHAnsi"/>
              </w:rPr>
              <w:t>Adresse : 313  LES CHETITES VIGNES Commune de ANNAY</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04-06-2018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