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MALO EN DONZIOIS</w:t>
      </w:r>
    </w:p>
    <w:p>
      <w:pPr>
        <w:ind w:left="708"/>
        <w:rPr>
          <w:rFonts w:cstheme="minorHAnsi"/>
          <w:szCs w:val="20"/>
        </w:rPr>
      </w:pPr>
      <w:r>
        <w:rPr>
          <w:sz w:val="36"/>
          <w:szCs w:val="36"/>
        </w:rPr>
        <w:t xml:space="preserve">Adresse du bien : </w:t>
      </w:r>
      <w:r>
        <w:rPr>
          <w:sz w:val="28"/>
          <w:szCs w:val="36"/>
        </w:rPr>
        <w:t xml:space="preserve">93  LE BEAUCHOT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TYDLITAT Solange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05/06/2018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TYDLITAT Solange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AA 33</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04-06-2018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Monsieur SEGUIN Denis (voisin)</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Madame TYDLITAT Solange</w:t>
            </w:r>
          </w:p>
          <w:p>
            <w:pPr>
              <w:spacing w:line="240" w:lineRule="auto"/>
              <w:rPr>
                <w:rFonts w:cstheme="minorHAnsi"/>
              </w:rPr>
            </w:pPr>
            <w:r>
              <w:rPr>
                <w:rFonts w:cstheme="minorHAnsi"/>
              </w:rPr>
              <w:t>Adresse : 93  LE BEAUCHOT Commune de SAINT MALO EN DONZIOIS</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04-06-2018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