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1988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1981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32  CROQUANT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AN 13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WEBER Sebastien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32      CROQUANT </w:t>
            </w:r>
            <w:r>
              <w:rPr>
                <w:sz w:val="18"/>
                <w:szCs w:val="18"/>
              </w:rPr>
              <w:t xml:space="preserve">CROQUANT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PERE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1981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Hauteur des graisses en cm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sur la ventilation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 / ml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traitement est-il positionné à au moins 5 m de l'habitation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réseau d'assainissement collectif dessert désormais l'habitation, l'acquéreur aura l'obligation de raccorder l'ensemble des eaux usées à la boite de branchement prévue en limite de propriété.</w:t>
              <w:br/>
              <w:t>Les ouvrages existants de la filière d'assainissement non collectif devront être supprimés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37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2018-05-15T05:49:00Z</dcterms:modified>
  <cp:revision>11</cp:revision>
  <dc:title>Informations générales</dc:title>
</cp:coreProperties>
</file>