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SAGA_2033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03/08/2020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Chemin des Roches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F</w:t>
            </w:r>
            <w:r>
              <w:rPr>
                <w:rFonts w:asciiTheme="minorHAnsi" w:hAnsiTheme="minorHAnsi" w:cstheme="minorHAnsi"/>
                <w:bCs/>
                <w:szCs w:val="20"/>
              </w:rPr>
              <w:t xml:space="preserve"> 157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BLOTTIERE Gaston et Michèle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8    #{info_gen</w:t>
            </w:r>
            <w:r>
              <w:rPr>
                <w:rFonts w:asciiTheme="minorHAnsi" w:hAnsiTheme="minorHAnsi" w:cstheme="minorHAnsi"/>
                <w:szCs w:val="20"/>
              </w:rPr>
              <w:t xml:space="preserve">erales.proprietaire.adresse_etage}  Chemin des Roches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58 150 #{info_generales.proprietaire.adresse_</w:t>
            </w:r>
            <w:r>
              <w:rPr>
                <w:rFonts w:asciiTheme="minorHAnsi" w:hAnsiTheme="minorHAnsi" w:cstheme="minorHAnsi"/>
                <w:szCs w:val="20"/>
              </w:rPr>
              <w:t xml:space="preserve">ville}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3 761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Modéré</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salle de bain, présence de racines dans le regard</w:t>
            </w:r>
            <w:r>
              <w:rPr>
                <w:sz w:val="18"/>
              </w:rPr>
              <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
            </w: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r>
              <w:rPr>
                <w:sz w:val="18"/>
              </w:rPr>
              <w:t>ce regard reçoit les eaux ménagères de la cuisine, de l'évier du sous sol et de la machine à laver ainsi qu'une gouttière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collecte les eaux ménagères de salle d'eau et le trop plein de la salle de bain</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r>
              <w:rPr>
                <w:sz w:val="18"/>
              </w:rPr>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r>
              <w:rPr>
                <w:sz w:val="18"/>
              </w:rPr>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reçoit le trop plein de la salle de bain et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