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3  Rue de Breugnon    </w:t>
      </w:r>
      <w:r>
        <w:rPr>
          <w:sz w:val="28"/>
          <w:szCs w:val="36"/>
        </w:rPr>
        <w:lastRenderedPageBreak/>
        <w:t xml:space="preserve"> Boisfleury</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FOURNIER Patrick et Edith</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FOURNIER Patrick et Edith</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628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FOURNIER Patrick et Edith</w:t>
            </w:r>
          </w:p>
          <w:p>
            <w:pPr>
              <w:spacing w:after="0" w:line="240" w:lineRule="auto"/>
              <w:rPr>
                <w:rFonts w:cstheme="minorHAnsi"/>
              </w:rPr>
            </w:pPr>
            <w:r>
              <w:rPr>
                <w:rFonts w:cstheme="minorHAnsi"/>
              </w:rPr>
              <w:t>Adresse : 3  Rue de Breugnon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