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SAGA_1733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08/09/2020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Rue Saint Edmond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w:t>
            </w:r>
            <w:r>
              <w:rPr>
                <w:rFonts w:asciiTheme="minorHAnsi" w:hAnsiTheme="minorHAnsi" w:cstheme="minorHAnsi"/>
                <w:bCs/>
                <w:szCs w:val="20"/>
              </w:rPr>
              <w:t xml:space="preserve"> 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CAZENAVE Gérard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19    #{info_gen</w:t>
            </w:r>
            <w:r>
              <w:rPr>
                <w:rFonts w:asciiTheme="minorHAnsi" w:hAnsiTheme="minorHAnsi" w:cstheme="minorHAnsi"/>
                <w:szCs w:val="20"/>
              </w:rPr>
              <w:t xml:space="preserve">erales.proprietaire.adresse_etage}  Rue VERGNIAUD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75 013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241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