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SAGA_869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Rue des Métiers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Villiers</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GUENEAU Louisette</w:t>
            </w:r>
          </w:p>
          <w:p>
            <w:pPr>
              <w:rPr>
                <w:rFonts w:asciiTheme="minorHAnsi" w:hAnsiTheme="minorHAnsi" w:cstheme="minorHAnsi"/>
                <w:szCs w:val="20"/>
              </w:rPr>
            </w:pPr>
            <w:r>
              <w:rPr>
                <w:rFonts w:asciiTheme="minorHAnsi" w:hAnsiTheme="minorHAnsi" w:cstheme="minorHAnsi"/>
                <w:szCs w:val="20"/>
              </w:rPr>
              <w:t>Chez Madame GUENEAU Chantal</w:t>
            </w:r>
          </w:p>
          <w:p>
            <w:pPr>
              <w:rPr>
                <w:rFonts w:asciiTheme="minorHAnsi" w:hAnsiTheme="minorHAnsi" w:cstheme="minorHAnsi"/>
                <w:szCs w:val="20"/>
              </w:rPr>
            </w:pPr>
            <w:r>
              <w:rPr>
                <w:rFonts w:asciiTheme="minorHAnsi" w:hAnsiTheme="minorHAnsi" w:cstheme="minorHAnsi"/>
                <w:szCs w:val="20"/>
              </w:rPr>
              <w:t xml:space="preserve">Adresse : 44      Avenue de la Marne </w:t>
            </w:r>
            <w:r>
              <w:rPr>
                <w:sz w:val="18"/>
                <w:szCs w:val="18"/>
              </w:rPr>
              <w:t/>
            </w:r>
          </w:p>
          <w:p>
            <w:pPr>
              <w:rPr>
                <w:rFonts w:asciiTheme="minorHAnsi" w:hAnsiTheme="minorHAnsi" w:cstheme="minorHAnsi"/>
                <w:szCs w:val="20"/>
              </w:rPr>
            </w:pPr>
            <w:r>
              <w:rPr>
                <w:rFonts w:asciiTheme="minorHAnsi" w:hAnsiTheme="minorHAnsi" w:cstheme="minorHAnsi"/>
                <w:szCs w:val="20"/>
              </w:rPr>
              <w:t>06100 NICE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2800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w:t>
            </w:r>
          </w:p>
        </w:tc>
        <w:tc>
          <w:tcPr>
            <w:tcW w:w="7027" w:type="dxa"/>
          </w:tcPr>
          <w:p>
            <w:pPr>
              <w:rPr>
                <w:rFonts w:cs="Arial"/>
                <w:sz w:val="18"/>
                <w:szCs w:val="18"/>
              </w:rPr>
            </w:pPr>
            <w:r>
              <w:rPr>
                <w:rFonts w:cs="Arial"/>
                <w:sz w:val="18"/>
                <w:szCs w:val="18"/>
              </w:rPr>
              <w:t>PREFILTRE</w:t>
            </w:r>
          </w:p>
        </w:tc>
      </w:tr>
      <w:tr>
        <w:trPr>
          <w:jc w:val="center"/>
        </w:trPr>
        <w:tc>
          <w:tcPr>
            <w:tcW w:w="3343" w:type="dxa"/>
            <w:shd w:val="clear" w:color="auto" w:fill="auto"/>
          </w:tcPr>
          <w:p>
            <w:pPr>
              <w:rPr>
                <w:rFonts w:cs="Arial"/>
                <w:sz w:val="18"/>
                <w:szCs w:val="18"/>
              </w:rPr>
            </w:pPr>
            <w:r>
              <w:rPr>
                <w:rFonts w:cs="Arial"/>
                <w:sz w:val="18"/>
                <w:szCs w:val="18"/>
              </w:rPr>
              <w:lastRenderedPageBreak/>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p>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de sortie de préfiltre et les eaux ménagères des éviers du sous sol.</w:t>
            </w:r>
          </w:p>
        </w:tc>
      </w:tr>
    </w:tbl>
    <w:p>
      <w:pPr>
        <w:rPr>
          <w:sz w:val="18"/>
        </w:rPr>
      </w:pPr>
      <w:r>
        <w:rPr>
          <w:sz w:val="18"/>
        </w:rPr>
        <w:t/>
      </w:r>
    </w:p>
    <w:p>
      <w:pPr>
        <w:rPr>
          <w:rFonts w:cs="Arial"/>
          <w:sz w:val="18"/>
          <w:szCs w:val="18"/>
        </w:rPr>
      </w:pPr>
      <w:r>
        <w:rPr>
          <w:rFonts w:cs="Arial"/>
          <w:sz w:val="18"/>
          <w:szCs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 t'il des signes d'altération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lang w:val="en-US"/>
              </w:rPr>
            </w:pPr>
            <w:r>
              <w:rPr>
                <w:sz w:val="18"/>
                <w:lang w:val="en-US"/>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Commentaire sur le regard de visite </w:t>
            </w:r>
          </w:p>
        </w:tc>
        <w:tc>
          <w:tcPr>
            <w:tcW w:w="7027" w:type="dxa"/>
          </w:tcPr>
          <w:p>
            <w:pPr>
              <w:rPr>
                <w:sz w:val="18"/>
              </w:rPr>
            </w:pPr>
            <w:r>
              <w:rPr>
                <w:sz w:val="18"/>
              </w:rPr>
              <w:t xml:space="preserve">ce regard reçoit l'ensemble des eaux ménagères de l'habitation </w:t>
            </w:r>
          </w:p>
        </w:tc>
      </w:tr>
    </w:tbl>
    <w:p>
      <w:pPr>
        <w:rPr>
          <w:sz w:val="18"/>
        </w:rPr>
      </w:pPr>
      <w:r>
        <w:rPr>
          <w:sz w:val="18"/>
        </w:rPr>
        <w:t xml:space="preserve"> </w:t>
      </w:r>
    </w:p>
    <w:p>
      <w:pPr>
        <w:rPr>
          <w:rFonts w:cs="Arial"/>
          <w:sz w:val="18"/>
          <w:szCs w:val="18"/>
        </w:rPr>
      </w:pPr>
      <w:r>
        <w:rPr>
          <w:rFonts w:cs="Arial"/>
          <w:sz w:val="18"/>
          <w:szCs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 t'il des signes d'altération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lang w:val="en-US"/>
              </w:rPr>
            </w:pPr>
            <w:r>
              <w:rPr>
                <w:sz w:val="18"/>
                <w:lang w:val="en-US"/>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Commentaire sur le regard de visite </w:t>
            </w:r>
          </w:p>
        </w:tc>
        <w:tc>
          <w:tcPr>
            <w:tcW w:w="7027" w:type="dxa"/>
          </w:tcPr>
          <w:p>
            <w:pPr>
              <w:rPr>
                <w:sz w:val="18"/>
              </w:rPr>
            </w:pPr>
            <w:r>
              <w:rPr>
                <w:sz w:val="18"/>
              </w:rPr>
              <w:t xml:space="preserve">Ce regard reçoit l'ensemble des eaux usées de l'habitation et les eaux pluviales. </w:t>
            </w:r>
          </w:p>
        </w:tc>
      </w:tr>
    </w:tbl>
    <w:p>
      <w:pPr>
        <w:rPr>
          <w:sz w:val="18"/>
        </w:rPr>
      </w:pPr>
      <w:r>
        <w:rPr>
          <w:sz w:val="18"/>
        </w:rPr>
        <w:t xml:space="preserve"> </w:t>
      </w:r>
    </w:p>
    <w:p>
      <w:pPr>
        <w:rPr>
          <w:rFonts w:cs="Arial"/>
          <w:sz w:val="18"/>
          <w:szCs w:val="18"/>
        </w:rPr>
      </w:pPr>
      <w:r>
        <w:rPr>
          <w:rFonts w:cs="Arial"/>
          <w:sz w:val="18"/>
          <w:szCs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 t'il des signes d'altération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lang w:val="en-US"/>
              </w:rPr>
            </w:pPr>
            <w:r>
              <w:rPr>
                <w:sz w:val="18"/>
                <w:lang w:val="en-US"/>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Commentaire sur le regard de visite </w:t>
            </w:r>
          </w:p>
        </w:tc>
        <w:tc>
          <w:tcPr>
            <w:tcW w:w="7027" w:type="dxa"/>
          </w:tcPr>
          <w:p>
            <w:pPr>
              <w:rPr>
                <w:sz w:val="18"/>
              </w:rPr>
            </w:pPr>
            <w:r>
              <w:rPr>
                <w:sz w:val="18"/>
              </w:rPr>
              <w:t xml:space="preserve">ce regard reçoit l'ensemble des eaux usées et pluviales et s'évacuent dans le fossé. </w:t>
            </w:r>
          </w:p>
        </w:tc>
      </w:tr>
    </w:tbl>
    <w:p>
      <w:pPr>
        <w:rPr>
          <w:sz w:val="18"/>
        </w:rPr>
      </w:pPr>
      <w:r>
        <w:rPr>
          <w:sz w:val="18"/>
        </w:rPr>
        <w:t xml:space="preserve">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 routier</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