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SAGA_1464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11  Rue des Fontaines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Fontenille</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43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FOUGEROUD Dominique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11      Rue des Fontaines </w:t>
            </w:r>
            <w:r>
              <w:rPr>
                <w:sz w:val="18"/>
                <w:szCs w:val="18"/>
              </w:rPr>
              <w:t>Fontenille</w:t>
            </w:r>
          </w:p>
          <w:p>
            <w:pPr>
              <w:rPr>
                <w:rFonts w:asciiTheme="minorHAnsi" w:hAnsiTheme="minorHAnsi" w:cstheme="minorHAnsi"/>
                <w:szCs w:val="20"/>
              </w:rPr>
            </w:pPr>
            <w:r>
              <w:rPr>
                <w:rFonts w:asciiTheme="minorHAnsi" w:hAnsiTheme="minorHAnsi" w:cstheme="minorHAnsi"/>
                <w:szCs w:val="20"/>
              </w:rPr>
              <w:t>58150 TRACY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3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TOUTES EAUX</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Présence de racines dans la fosse</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il existe un réseau de collecte qui évacue les eaux usées vers une station de traitement semi collectif qui est à ce jour obsolète.</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Modifier la ventilation secondaire de la fosse</w:t>
              <w:br/>
              <w:t>La fosse présente des signes de saturation certainement dus aux racines des arbres,il sera plus judicieux de faire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