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LAURENT L'ABBAYE</w:t>
      </w:r>
    </w:p>
    <w:p>
      <w:pPr>
        <w:ind w:left="708"/>
        <w:rPr>
          <w:rFonts w:cstheme="minorHAnsi"/>
          <w:szCs w:val="20"/>
        </w:rPr>
      </w:pPr>
      <w:r>
        <w:rPr>
          <w:sz w:val="36"/>
          <w:szCs w:val="36"/>
        </w:rPr>
        <w:t xml:space="preserve">Adresse du bien : </w:t>
      </w:r>
      <w:r>
        <w:rPr>
          <w:sz w:val="28"/>
          <w:szCs w:val="36"/>
        </w:rPr>
        <w:t xml:space="preserve">1  Route de Garchy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PERROCHON Jacques et Christine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PERROCHON Jacques et Christine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85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PERROCHON Jacques et Christine</w:t>
            </w:r>
          </w:p>
          <w:p>
            <w:pPr>
              <w:spacing w:after="0" w:line="240" w:lineRule="auto"/>
              <w:rPr>
                <w:rFonts w:cstheme="minorHAnsi"/>
              </w:rPr>
            </w:pPr>
            <w:r>
              <w:rPr>
                <w:rFonts w:cstheme="minorHAnsi"/>
              </w:rPr>
              <w:t>Adresse : 1  Route de Garchy Commune de SAINT LAURENT L'ABBAYE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