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SAGA_233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12/02/2020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15  Rue Ernest Durand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1766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EL FAZAZI Hasan</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39      Rue des artistes </w:t>
            </w:r>
            <w:r>
              <w:rPr>
                <w:sz w:val="18"/>
                <w:szCs w:val="18"/>
              </w:rPr>
              <w:t>Les Aubues</w:t>
            </w:r>
          </w:p>
          <w:p>
            <w:pPr>
              <w:rPr>
                <w:rFonts w:asciiTheme="minorHAnsi" w:hAnsiTheme="minorHAnsi" w:cstheme="minorHAnsi"/>
                <w:szCs w:val="20"/>
              </w:rPr>
            </w:pPr>
            <w:r>
              <w:rPr>
                <w:rFonts w:asciiTheme="minorHAnsi" w:hAnsiTheme="minorHAnsi" w:cstheme="minorHAnsi"/>
                <w:szCs w:val="20"/>
              </w:rPr>
              <w:t>58400 CHAULGNES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1335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prétraitement : Fosse d’accumulation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xml:space="preserve">?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la fosse se situe sous l'ancien cabinet extérieur dans la propriété voisine</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Installation présentant un risque sanitaire ou environnemental</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Il existe dans l'acte notarié une autorisation d’accès pour la fosse et le regard pour permettre l’entretien par contre il est stipulé qu'en cas de réfection complète des canalisations ou de la fosse, les propriétaires devront prendre toutes dispositions pour aménager ces éléments sur la propriété cadastrée 1766.</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