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pPr>
        <w:ind w:left="708"/>
        <w:rPr>
          <w:rFonts w:cstheme="minorHAnsi"/>
          <w:szCs w:val="20"/>
        </w:rPr>
      </w:pPr>
      <w:r>
        <w:rPr>
          <w:sz w:val="36"/>
          <w:szCs w:val="36"/>
        </w:rPr>
        <w:t xml:space="preserve">Adresse du bien : </w:t>
      </w:r>
      <w:r>
        <w:rPr>
          <w:sz w:val="28"/>
          <w:szCs w:val="36"/>
        </w:rPr>
        <w:t xml:space="preserve">  Le Domaine du Bouchot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KERBIQUET Pascal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20/09/2019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KERBIQUET Pascal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BT 63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KERBIQUET Pascal</w:t>
            </w:r>
          </w:p>
          <w:p>
            <w:pPr>
              <w:spacing w:after="0" w:line="240" w:lineRule="auto"/>
              <w:rPr>
                <w:rFonts w:cstheme="minorHAnsi"/>
              </w:rPr>
            </w:pPr>
            <w:r>
              <w:rPr>
                <w:rFonts w:cstheme="minorHAnsi"/>
              </w:rPr>
              <w:t>Adresse :   Le Domaine du Bouchot Commune de SAINT ANDELAIN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