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Entte1"/>
        <w:tabs>
          <w:tab w:val="right" w:pos="10560"/>
        </w:tabs>
        <w:jc w:val="left"/>
        <w:rPr>
          <w:rFonts w:asciiTheme="minorHAnsi" w:hAnsiTheme="minorHAnsi" w:cstheme="minorHAnsi"/>
          <w:color w:val="FF9900"/>
          <w:sz w:val="36"/>
          <w:u w:val="single"/>
        </w:rPr>
      </w:pPr>
      <w:r>
        <w:rPr>
          <w:rFonts w:asciiTheme="minorHAnsi" w:hAnsiTheme="minorHAnsi" w:cstheme="minorHAnsi"/>
          <w:b/>
          <w:noProof/>
          <w:sz w:val="24"/>
          <w:szCs w:val="24"/>
        </w:rPr>
        <w:drawing>
          <wp:anchor distT="0" distB="0" distL="114300" distR="114300" simplePos="0" relativeHeight="251657216" behindDoc="0" locked="0" layoutInCell="1" allowOverlap="1">
            <wp:simplePos x="0" y="0"/>
            <wp:positionH relativeFrom="column">
              <wp:posOffset>-131445</wp:posOffset>
            </wp:positionH>
            <wp:positionV relativeFrom="paragraph">
              <wp:posOffset>-180975</wp:posOffset>
            </wp:positionV>
            <wp:extent cx="1077578" cy="1112508"/>
            <wp:effectExtent l="0" t="0" r="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eurDeLoire_ComCom.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077578" cy="1112508"/>
                    </a:xfrm>
                    <a:prstGeom prst="rect">
                      <a:avLst/>
                    </a:prstGeom>
                  </pic:spPr>
                </pic:pic>
              </a:graphicData>
            </a:graphic>
            <wp14:sizeRelH relativeFrom="page">
              <wp14:pctWidth>0</wp14:pctWidth>
            </wp14:sizeRelH>
            <wp14:sizeRelV relativeFrom="page">
              <wp14:pctHeight>0</wp14:pctHeight>
            </wp14:sizeRelV>
          </wp:anchor>
        </w:drawing>
      </w:r>
    </w:p>
    <w:p>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DIAGNOSTIC VENTE</w:t>
      </w:r>
    </w:p>
    <w:p>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ASSAINISSEMENT NON COLLECTIF</w:t>
      </w:r>
    </w:p>
    <w:p>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pPr>
        <w:pStyle w:val="En-tte"/>
        <w:tabs>
          <w:tab w:val="clear" w:pos="4536"/>
          <w:tab w:val="clear" w:pos="9072"/>
          <w:tab w:val="center" w:pos="5386"/>
          <w:tab w:val="right" w:pos="10773"/>
        </w:tabs>
        <w:rPr>
          <w:rFonts w:asciiTheme="minorHAnsi" w:hAnsiTheme="minorHAnsi" w:cstheme="minorHAnsi"/>
        </w:rPr>
      </w:pPr>
    </w:p>
    <w:p>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SAGA_173</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trPr>
          <w:trHeight w:val="176"/>
          <w:jc w:val="center"/>
        </w:trPr>
        <w:tc>
          <w:tcPr>
            <w:tcW w:w="5865" w:type="dxa"/>
            <w:gridSpan w:val="2"/>
          </w:tcPr>
          <w:p>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10/06/2020</w:t>
            </w:r>
          </w:p>
        </w:tc>
        <w:tc>
          <w:tcPr>
            <w:tcW w:w="4790" w:type="dxa"/>
          </w:tcPr>
          <w:p>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trPr>
          <w:cantSplit/>
          <w:trHeight w:val="2188"/>
          <w:jc w:val="center"/>
        </w:trPr>
        <w:tc>
          <w:tcPr>
            <w:tcW w:w="2376" w:type="dxa"/>
          </w:tcPr>
          <w:p>
            <w:pPr>
              <w:pStyle w:val="CaseCocher"/>
              <w:jc w:val="left"/>
              <w:rPr>
                <w:rFonts w:asciiTheme="minorHAnsi" w:hAnsiTheme="minorHAnsi" w:cstheme="minorHAnsi"/>
                <w:bCs/>
                <w:szCs w:val="20"/>
              </w:rPr>
            </w:pPr>
            <w:r>
              <w:rPr>
                <w:rFonts w:asciiTheme="minorHAnsi" w:hAnsiTheme="minorHAnsi" w:cstheme="minorHAnsi"/>
                <w:bCs/>
                <w:szCs w:val="20"/>
              </w:rPr>
              <w:t>Habitation</w:t>
            </w:r>
          </w:p>
          <w:p>
            <w:pPr>
              <w:rPr>
                <w:rFonts w:asciiTheme="minorHAnsi" w:hAnsiTheme="minorHAnsi" w:cstheme="minorHAnsi"/>
              </w:rPr>
            </w:pPr>
          </w:p>
          <w:p>
            <w:pPr>
              <w:rPr>
                <w:rFonts w:asciiTheme="minorHAnsi" w:hAnsiTheme="minorHAnsi" w:cstheme="minorHAnsi"/>
              </w:rPr>
            </w:pPr>
          </w:p>
          <w:p>
            <w:pPr>
              <w:jc w:val="center"/>
              <w:rPr>
                <w:rFonts w:asciiTheme="minorHAnsi" w:hAnsiTheme="minorHAnsi" w:cstheme="minorHAnsi"/>
              </w:rPr>
            </w:pPr>
          </w:p>
        </w:tc>
        <w:tc>
          <w:tcPr>
            <w:tcW w:w="8279" w:type="dxa"/>
            <w:gridSpan w:val="2"/>
          </w:tcPr>
          <w:p>
            <w:pPr>
              <w:rPr>
                <w:rFonts w:asciiTheme="minorHAnsi" w:hAnsiTheme="minorHAnsi" w:cstheme="minorHAnsi"/>
                <w:szCs w:val="20"/>
              </w:rPr>
            </w:pPr>
            <w:r>
              <w:rPr>
                <w:rFonts w:asciiTheme="minorHAnsi" w:hAnsiTheme="minorHAnsi" w:cstheme="minorHAnsi"/>
                <w:szCs w:val="20"/>
              </w:rPr>
              <w:t xml:space="preserve">Adresse : 7  Route de Sancerre  </w:t>
            </w:r>
          </w:p>
          <w:p>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
            </w:r>
          </w:p>
          <w:p>
            <w:pPr>
              <w:rPr>
                <w:rFonts w:asciiTheme="minorHAnsi" w:hAnsiTheme="minorHAnsi" w:cstheme="minorHAnsi"/>
                <w:szCs w:val="20"/>
              </w:rPr>
            </w:pPr>
            <w:r>
              <w:rPr>
                <w:rFonts w:asciiTheme="minorHAnsi" w:hAnsiTheme="minorHAnsi" w:cstheme="minorHAnsi"/>
                <w:szCs w:val="20"/>
              </w:rPr>
              <w:t xml:space="preserve">58150 SAINT LAURENT L'ABBAYE </w:t>
            </w:r>
          </w:p>
          <w:p>
            <w:pPr>
              <w:rPr>
                <w:rFonts w:asciiTheme="minorHAnsi" w:hAnsiTheme="minorHAnsi" w:cstheme="minorHAnsi"/>
                <w:szCs w:val="20"/>
              </w:rPr>
            </w:pPr>
          </w:p>
          <w:p>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A 48</w:t>
            </w:r>
          </w:p>
        </w:tc>
      </w:tr>
      <w:tr>
        <w:trPr>
          <w:cantSplit/>
          <w:trHeight w:val="2791"/>
          <w:jc w:val="center"/>
        </w:trPr>
        <w:tc>
          <w:tcPr>
            <w:tcW w:w="2376" w:type="dxa"/>
          </w:tcPr>
          <w:p>
            <w:pPr>
              <w:rPr>
                <w:rFonts w:asciiTheme="minorHAnsi" w:hAnsiTheme="minorHAnsi" w:cstheme="minorHAnsi"/>
                <w:b/>
              </w:rPr>
            </w:pPr>
            <w:r>
              <w:rPr>
                <w:rFonts w:asciiTheme="minorHAnsi" w:hAnsiTheme="minorHAnsi" w:cstheme="minorHAnsi"/>
                <w:b/>
              </w:rPr>
              <w:t>Propriétaire</w:t>
            </w:r>
          </w:p>
        </w:tc>
        <w:tc>
          <w:tcPr>
            <w:tcW w:w="8279" w:type="dxa"/>
            <w:gridSpan w:val="2"/>
          </w:tcPr>
          <w:p>
            <w:pPr>
              <w:rPr>
                <w:rFonts w:asciiTheme="minorHAnsi" w:hAnsiTheme="minorHAnsi" w:cstheme="minorHAnsi"/>
                <w:szCs w:val="20"/>
              </w:rPr>
            </w:pPr>
            <w:r>
              <w:rPr>
                <w:rFonts w:asciiTheme="minorHAnsi" w:hAnsiTheme="minorHAnsi" w:cstheme="minorHAnsi"/>
                <w:szCs w:val="20"/>
              </w:rPr>
              <w:t>Messieurs ALDON Frank Jean René Claude et Claire</w:t>
            </w:r>
          </w:p>
          <w:p>
            <w:pPr>
              <w:rPr>
                <w:rFonts w:asciiTheme="minorHAnsi" w:hAnsiTheme="minorHAnsi" w:cstheme="minorHAnsi"/>
                <w:szCs w:val="20"/>
              </w:rPr>
            </w:pPr>
            <w:r>
              <w:rPr>
                <w:rFonts w:asciiTheme="minorHAnsi" w:hAnsiTheme="minorHAnsi" w:cstheme="minorHAnsi"/>
                <w:szCs w:val="20"/>
              </w:rPr>
              <w:t/>
            </w:r>
          </w:p>
          <w:p>
            <w:pPr>
              <w:rPr>
                <w:rFonts w:asciiTheme="minorHAnsi" w:hAnsiTheme="minorHAnsi" w:cstheme="minorHAnsi"/>
                <w:szCs w:val="20"/>
              </w:rPr>
            </w:pPr>
            <w:r>
              <w:rPr>
                <w:rFonts w:asciiTheme="minorHAnsi" w:hAnsiTheme="minorHAnsi" w:cstheme="minorHAnsi"/>
                <w:szCs w:val="20"/>
              </w:rPr>
              <w:t xml:space="preserve">Adresse : 10      Rue de l'Eglise </w:t>
            </w:r>
            <w:r>
              <w:rPr>
                <w:sz w:val="18"/>
                <w:szCs w:val="18"/>
              </w:rPr>
              <w:t/>
            </w:r>
          </w:p>
          <w:p>
            <w:pPr>
              <w:rPr>
                <w:rFonts w:asciiTheme="minorHAnsi" w:hAnsiTheme="minorHAnsi" w:cstheme="minorHAnsi"/>
                <w:szCs w:val="20"/>
              </w:rPr>
            </w:pPr>
            <w:r>
              <w:rPr>
                <w:rFonts w:asciiTheme="minorHAnsi" w:hAnsiTheme="minorHAnsi" w:cstheme="minorHAnsi"/>
                <w:szCs w:val="20"/>
              </w:rPr>
              <w:t>77760 Larchant  France</w:t>
            </w:r>
          </w:p>
        </w:tc>
      </w:tr>
    </w:tbl>
    <w:p>
      <w:pPr>
        <w:rPr>
          <w:rFonts w:asciiTheme="minorHAnsi" w:hAnsiTheme="minorHAnsi" w:cstheme="minorHAnsi"/>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trPr>
          <w:jc w:val="center"/>
        </w:trPr>
        <w:tc>
          <w:tcPr>
            <w:tcW w:w="4212" w:type="dxa"/>
          </w:tcPr>
          <w:p>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pPr>
              <w:tabs>
                <w:tab w:val="left" w:pos="2657"/>
                <w:tab w:val="left" w:pos="4500"/>
                <w:tab w:val="right" w:pos="7619"/>
              </w:tabs>
              <w:rPr>
                <w:rFonts w:asciiTheme="minorHAnsi" w:hAnsiTheme="minorHAnsi" w:cstheme="minorHAnsi"/>
              </w:rPr>
            </w:pPr>
            <w:r>
              <w:rPr>
                <w:rFonts w:asciiTheme="minorHAnsi" w:hAnsiTheme="minorHAnsi" w:cstheme="minorHAnsi"/>
              </w:rPr>
              <w:t>Type : SECONDAIRE</w:t>
            </w:r>
          </w:p>
        </w:tc>
      </w:tr>
      <w:tr>
        <w:trPr>
          <w:jc w:val="center"/>
        </w:trPr>
        <w:tc>
          <w:tcPr>
            <w:tcW w:w="4212" w:type="dxa"/>
          </w:tcPr>
          <w:p>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trPr>
          <w:jc w:val="center"/>
        </w:trPr>
        <w:tc>
          <w:tcPr>
            <w:tcW w:w="4212" w:type="dxa"/>
          </w:tcPr>
          <w:p>
            <w:pPr>
              <w:rPr>
                <w:rFonts w:asciiTheme="minorHAnsi" w:hAnsiTheme="minorHAnsi" w:cstheme="minorHAnsi"/>
              </w:rPr>
            </w:pPr>
            <w:r>
              <w:rPr>
                <w:rFonts w:asciiTheme="minorHAnsi" w:hAnsiTheme="minorHAnsi" w:cstheme="minorHAnsi"/>
              </w:rPr>
              <w:t>Nombre de chambres : 3</w:t>
            </w:r>
          </w:p>
          <w:p>
            <w:pPr>
              <w:rPr>
                <w:rFonts w:asciiTheme="minorHAnsi" w:hAnsiTheme="minorHAnsi" w:cstheme="minorHAnsi"/>
              </w:rPr>
            </w:pPr>
            <w:r>
              <w:rPr>
                <w:rFonts w:asciiTheme="minorHAnsi" w:hAnsiTheme="minorHAnsi" w:cstheme="minorHAnsi"/>
              </w:rPr>
              <w:t>Nombre de pièces principales : 4</w:t>
            </w:r>
          </w:p>
        </w:tc>
        <w:tc>
          <w:tcPr>
            <w:tcW w:w="6479" w:type="dxa"/>
            <w:gridSpan w:val="2"/>
          </w:tcPr>
          <w:p>
            <w:pPr>
              <w:tabs>
                <w:tab w:val="left" w:pos="2657"/>
                <w:tab w:val="left" w:pos="4500"/>
                <w:tab w:val="right" w:pos="7619"/>
              </w:tabs>
              <w:rPr>
                <w:rFonts w:asciiTheme="minorHAnsi" w:hAnsiTheme="minorHAnsi" w:cstheme="minorHAnsi"/>
              </w:rPr>
            </w:pPr>
            <w:r>
              <w:rPr>
                <w:rFonts w:asciiTheme="minorHAnsi" w:hAnsiTheme="minorHAnsi" w:cstheme="minorHAnsi"/>
              </w:rPr>
              <w:t>Nombre d'occupants : 0</w:t>
            </w:r>
          </w:p>
          <w:p>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4</w:t>
            </w:r>
          </w:p>
        </w:tc>
      </w:tr>
    </w:tbl>
    <w:p>
      <w:pPr>
        <w:pStyle w:val="Titre1"/>
        <w:spacing w:before="0" w:after="0" w:afterAutospacing="0"/>
        <w:rPr>
          <w:rFonts w:asciiTheme="minorHAnsi" w:hAnsiTheme="minorHAnsi" w:cstheme="minorHAnsi"/>
          <w:color w:val="FF9900"/>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Superficie totale de la parcelle : 7798 m²</w:t>
            </w:r>
          </w:p>
        </w:tc>
        <w:tc>
          <w:tcPr>
            <w:tcW w:w="2753" w:type="dxa"/>
          </w:tcPr>
          <w:p>
            <w:pPr>
              <w:rPr>
                <w:rFonts w:asciiTheme="minorHAnsi" w:hAnsiTheme="minorHAnsi" w:cstheme="minorHAnsi"/>
                <w:szCs w:val="20"/>
              </w:rPr>
            </w:pPr>
          </w:p>
        </w:tc>
      </w:tr>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Surface disponible ANC : 100 m²</w:t>
            </w:r>
          </w:p>
          <w:p>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pPr>
              <w:rPr>
                <w:rFonts w:asciiTheme="minorHAnsi" w:hAnsiTheme="minorHAnsi" w:cstheme="minorHAnsi"/>
                <w:szCs w:val="20"/>
              </w:rPr>
            </w:pPr>
          </w:p>
          <w:p>
            <w:pPr>
              <w:rPr>
                <w:rFonts w:asciiTheme="minorHAnsi" w:hAnsiTheme="minorHAnsi" w:cstheme="minorHAnsi"/>
                <w:szCs w:val="20"/>
              </w:rPr>
            </w:pPr>
          </w:p>
        </w:tc>
      </w:tr>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Le terrain est-il desservi par un réseau public d ‘eau potable ?</w:t>
            </w:r>
          </w:p>
        </w:tc>
        <w:tc>
          <w:tcPr>
            <w:tcW w:w="2753" w:type="dxa"/>
          </w:tcPr>
          <w:p>
            <w:pPr>
              <w:rPr>
                <w:rFonts w:asciiTheme="minorHAnsi" w:hAnsiTheme="minorHAnsi" w:cstheme="minorHAnsi"/>
                <w:szCs w:val="20"/>
              </w:rPr>
            </w:pPr>
            <w:r>
              <w:rPr>
                <w:rFonts w:asciiTheme="minorHAnsi" w:hAnsiTheme="minorHAnsi" w:cstheme="minorHAnsi"/>
                <w:szCs w:val="20"/>
              </w:rPr>
              <w:t>☑ OUI ☐ NON</w:t>
            </w:r>
          </w:p>
        </w:tc>
      </w:tr>
      <w:tr>
        <w:trPr>
          <w:cantSplit/>
          <w:jc w:val="center"/>
        </w:trPr>
        <w:tc>
          <w:tcPr>
            <w:tcW w:w="7856" w:type="dxa"/>
            <w:shd w:val="clear" w:color="auto" w:fill="FFCC99"/>
          </w:tcPr>
          <w:p>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Modéré</w:t>
            </w:r>
          </w:p>
          <w:p>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pPr>
              <w:rPr>
                <w:rFonts w:asciiTheme="minorHAnsi" w:hAnsiTheme="minorHAnsi" w:cstheme="minorHAnsi"/>
                <w:szCs w:val="20"/>
              </w:rPr>
            </w:pPr>
          </w:p>
        </w:tc>
      </w:tr>
      <w:tr>
        <w:trPr>
          <w:cantSplit/>
          <w:jc w:val="center"/>
        </w:trPr>
        <w:tc>
          <w:tcPr>
            <w:tcW w:w="7856" w:type="dxa"/>
            <w:shd w:val="clear" w:color="auto" w:fill="FFCC99"/>
          </w:tcPr>
          <w:p>
            <w:pPr>
              <w:numPr>
                <w:ilvl w:val="0"/>
                <w:numId w:val="3"/>
              </w:numPr>
              <w:rPr>
                <w:rFonts w:asciiTheme="minorHAnsi" w:hAnsiTheme="minorHAnsi" w:cstheme="minorHAnsi"/>
                <w:szCs w:val="20"/>
              </w:rPr>
            </w:pPr>
            <w:r>
              <w:rPr>
                <w:rFonts w:asciiTheme="minorHAnsi" w:hAnsiTheme="minorHAnsi" w:cstheme="minorHAnsi"/>
                <w:szCs w:val="20"/>
              </w:rPr>
              <w:lastRenderedPageBreak/>
              <w:t>Présence d’un captage (puits ou forage) d’eau sur le terrain ?</w:t>
            </w:r>
          </w:p>
          <w:p>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pPr>
              <w:rPr>
                <w:rFonts w:asciiTheme="minorHAnsi" w:hAnsiTheme="minorHAnsi" w:cstheme="minorHAnsi"/>
                <w:szCs w:val="20"/>
              </w:rPr>
            </w:pPr>
            <w:r>
              <w:rPr>
                <w:rFonts w:asciiTheme="minorHAnsi" w:hAnsiTheme="minorHAnsi" w:cstheme="minorHAnsi"/>
                <w:szCs w:val="20"/>
              </w:rPr>
              <w:t xml:space="preserve">☑ OUI ☐ NON </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OUI ☑ NON</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OUI  ☐ NON ☑ ?</w:t>
            </w:r>
          </w:p>
        </w:tc>
      </w:tr>
    </w:tbl>
    <w:p>
      <w:pPr>
        <w:pStyle w:val="Titre1"/>
        <w:spacing w:before="0" w:after="0" w:afterAutospacing="0"/>
        <w:rPr>
          <w:rFonts w:asciiTheme="minorHAnsi" w:hAnsiTheme="minorHAnsi" w:cstheme="minorHAnsi"/>
          <w:color w:val="auto"/>
          <w:sz w:val="18"/>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trPr>
          <w:cantSplit/>
          <w:jc w:val="center"/>
        </w:trPr>
        <w:tc>
          <w:tcPr>
            <w:tcW w:w="7856" w:type="dxa"/>
            <w:shd w:val="clear" w:color="auto" w:fill="FFCC99"/>
          </w:tcPr>
          <w:p>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pPr>
              <w:rPr>
                <w:rFonts w:asciiTheme="minorHAnsi" w:hAnsiTheme="minorHAnsi" w:cstheme="minorHAnsi"/>
              </w:rPr>
            </w:pPr>
            <w:r>
              <w:rPr>
                <w:rFonts w:asciiTheme="minorHAnsi" w:hAnsiTheme="minorHAnsi" w:cstheme="minorHAnsi"/>
              </w:rPr>
              <w:t>☐ OUI ☑ NON</w:t>
            </w:r>
          </w:p>
        </w:tc>
      </w:tr>
    </w:tbl>
    <w:p>
      <w:pPr>
        <w:pStyle w:val="Retrait1"/>
        <w:ind w:left="0"/>
        <w:rPr>
          <w:rFonts w:asciiTheme="minorHAnsi" w:hAnsiTheme="minorHAnsi" w:cstheme="minorHAnsi"/>
        </w:rPr>
      </w:pPr>
    </w:p>
    <w:p>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pPr>
              <w:pStyle w:val="Retrait1"/>
              <w:ind w:left="0"/>
              <w:rPr>
                <w:rFonts w:asciiTheme="minorHAnsi" w:hAnsiTheme="minorHAnsi" w:cstheme="minorHAnsi"/>
                <w:sz w:val="20"/>
              </w:rPr>
            </w:pPr>
          </w:p>
          <w:p>
            <w:pPr>
              <w:pStyle w:val="Retrait1"/>
              <w:ind w:left="2127"/>
              <w:rPr>
                <w:rFonts w:asciiTheme="minorHAnsi" w:hAnsiTheme="minorHAnsi" w:cstheme="minorHAnsi"/>
                <w:sz w:val="20"/>
              </w:rPr>
            </w:pPr>
            <w:r>
              <w:rPr>
                <w:rFonts w:asciiTheme="minorHAnsi" w:hAnsiTheme="minorHAnsi" w:cstheme="minorHAnsi"/>
                <w:sz w:val="20"/>
              </w:rPr>
              <w:t>☑ Prétraitement</w:t>
            </w:r>
          </w:p>
          <w:p>
            <w:pPr>
              <w:pStyle w:val="Retrait1"/>
              <w:ind w:left="2127"/>
              <w:rPr>
                <w:rFonts w:asciiTheme="minorHAnsi" w:hAnsiTheme="minorHAnsi" w:cstheme="minorHAnsi"/>
                <w:sz w:val="20"/>
              </w:rPr>
            </w:pPr>
            <w:r>
              <w:rPr>
                <w:rFonts w:asciiTheme="minorHAnsi" w:hAnsiTheme="minorHAnsi" w:cstheme="minorHAnsi"/>
                <w:sz w:val="20"/>
              </w:rPr>
              <w:t>☐ Traitement</w:t>
            </w:r>
          </w:p>
          <w:p>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pPr>
              <w:pStyle w:val="Retrait1"/>
              <w:ind w:left="709"/>
              <w:rPr>
                <w:rFonts w:asciiTheme="minorHAnsi" w:hAnsiTheme="minorHAnsi" w:cstheme="minorHAnsi"/>
                <w:sz w:val="20"/>
              </w:rPr>
            </w:pPr>
          </w:p>
          <w:p>
            <w:pPr>
              <w:pStyle w:val="Retrait1"/>
              <w:ind w:left="1418"/>
              <w:rPr>
                <w:rFonts w:asciiTheme="minorHAnsi" w:hAnsiTheme="minorHAnsi" w:cstheme="minorHAnsi"/>
                <w:b/>
                <w:bCs/>
                <w:sz w:val="20"/>
              </w:rPr>
            </w:pPr>
            <w:r>
              <w:rPr>
                <w:rFonts w:asciiTheme="minorHAnsi" w:hAnsiTheme="minorHAnsi" w:cstheme="minorHAnsi"/>
                <w:sz w:val="20"/>
              </w:rPr>
              <w:t>☐ Filtre compact</w:t>
            </w:r>
          </w:p>
          <w:p>
            <w:pPr>
              <w:pStyle w:val="Retrait1"/>
              <w:ind w:left="1418"/>
              <w:rPr>
                <w:rFonts w:asciiTheme="minorHAnsi" w:hAnsiTheme="minorHAnsi" w:cstheme="minorHAnsi"/>
                <w:sz w:val="20"/>
              </w:rPr>
            </w:pPr>
            <w:r>
              <w:rPr>
                <w:rFonts w:asciiTheme="minorHAnsi" w:hAnsiTheme="minorHAnsi" w:cstheme="minorHAnsi"/>
                <w:sz w:val="20"/>
              </w:rPr>
              <w:t>☐ Micro-station</w:t>
            </w:r>
          </w:p>
          <w:p>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r>
              <w:rPr>
                <w:rFonts w:asciiTheme="minorHAnsi" w:hAnsiTheme="minorHAnsi" w:cstheme="minorHAnsi"/>
                <w:sz w:val="20"/>
              </w:rPr>
              <w:t>☑  Regard(s) de collecte</w:t>
            </w:r>
          </w:p>
          <w:p>
            <w:pPr>
              <w:pStyle w:val="Retrait1"/>
              <w:ind w:left="0"/>
              <w:rPr>
                <w:rFonts w:asciiTheme="minorHAnsi" w:hAnsiTheme="minorHAnsi" w:cstheme="minorHAnsi"/>
                <w:sz w:val="20"/>
              </w:rPr>
            </w:pPr>
            <w:r>
              <w:rPr>
                <w:rFonts w:asciiTheme="minorHAnsi" w:hAnsiTheme="minorHAnsi" w:cstheme="minorHAnsi"/>
                <w:sz w:val="20"/>
              </w:rPr>
              <w:t>☑  Regard(s) de visite</w:t>
            </w:r>
          </w:p>
          <w:p>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pPr>
              <w:pStyle w:val="Retrait1"/>
              <w:ind w:left="0"/>
              <w:rPr>
                <w:rFonts w:asciiTheme="minorHAnsi" w:hAnsiTheme="minorHAnsi" w:cstheme="minorHAnsi"/>
                <w:sz w:val="20"/>
              </w:rPr>
            </w:pPr>
            <w:r>
              <w:rPr>
                <w:rFonts w:asciiTheme="minorHAnsi" w:hAnsiTheme="minorHAnsi" w:cstheme="minorHAnsi"/>
                <w:sz w:val="20"/>
              </w:rPr>
              <w:t>☐  Regard(s) de bouclage</w:t>
            </w:r>
          </w:p>
          <w:p>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r>
              <w:rPr>
                <w:rFonts w:asciiTheme="minorHAnsi" w:hAnsiTheme="minorHAnsi" w:cstheme="minorHAnsi"/>
                <w:sz w:val="20"/>
              </w:rPr>
              <w:t>☑  Ventilation(s) (primaire, secondaire)</w:t>
            </w:r>
          </w:p>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Pompe(s) ou système(s) de relevage</w:t>
            </w:r>
          </w:p>
          <w:p>
            <w:pPr>
              <w:pStyle w:val="Retrait1"/>
              <w:rPr>
                <w:rFonts w:asciiTheme="minorHAnsi" w:hAnsiTheme="minorHAnsi" w:cstheme="minorHAnsi"/>
                <w:sz w:val="20"/>
              </w:rPr>
            </w:pPr>
          </w:p>
        </w:tc>
      </w:tr>
      <w:tr>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pPr>
        <w:pStyle w:val="Titre1"/>
        <w:spacing w:before="0" w:after="0"/>
        <w:ind w:hanging="148"/>
        <w:rPr>
          <w:rFonts w:asciiTheme="minorHAnsi" w:hAnsiTheme="minorHAnsi" w:cstheme="minorHAnsi"/>
          <w:color w:val="7030A0"/>
          <w:sz w:val="24"/>
        </w:rPr>
      </w:pPr>
    </w:p>
    <w:p>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trPr>
          <w:trHeight w:val="685"/>
          <w:jc w:val="center"/>
        </w:trPr>
        <w:tc>
          <w:tcPr>
            <w:tcW w:w="3656" w:type="dxa"/>
            <w:shd w:val="clear" w:color="auto" w:fill="auto"/>
          </w:tcPr>
          <w:p>
            <w:pPr>
              <w:rPr>
                <w:rFonts w:asciiTheme="minorHAnsi" w:hAnsiTheme="minorHAnsi" w:cstheme="minorHAnsi"/>
                <w:b/>
                <w:szCs w:val="20"/>
              </w:rPr>
            </w:pPr>
            <w:r>
              <w:rPr>
                <w:rFonts w:asciiTheme="minorHAnsi" w:hAnsiTheme="minorHAnsi" w:cstheme="minorHAnsi"/>
                <w:b/>
                <w:szCs w:val="20"/>
              </w:rPr>
              <w:t xml:space="preserve">Destination des eaux pluviales </w:t>
            </w:r>
          </w:p>
          <w:p>
            <w:pPr>
              <w:rPr>
                <w:rFonts w:asciiTheme="minorHAnsi" w:hAnsiTheme="minorHAnsi" w:cstheme="minorHAnsi"/>
                <w:szCs w:val="20"/>
              </w:rPr>
            </w:pPr>
            <w:r>
              <w:rPr>
                <w:rFonts w:asciiTheme="minorHAnsi" w:hAnsiTheme="minorHAnsi" w:cstheme="minorHAnsi"/>
                <w:szCs w:val="20"/>
              </w:rPr>
              <w:t>Commentaires :</w:t>
            </w:r>
          </w:p>
          <w:p>
            <w:pPr>
              <w:rPr>
                <w:rFonts w:asciiTheme="minorHAnsi" w:hAnsiTheme="minorHAnsi" w:cstheme="minorHAnsi"/>
                <w:szCs w:val="20"/>
              </w:rPr>
            </w:pPr>
            <w:r>
              <w:rPr>
                <w:rFonts w:asciiTheme="minorHAnsi" w:hAnsiTheme="minorHAnsi" w:cstheme="minorHAnsi"/>
                <w:b/>
                <w:szCs w:val="20"/>
              </w:rPr>
              <w:t xml:space="preserve">Origine des effluents </w:t>
            </w:r>
          </w:p>
          <w:p>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Fossé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pPr>
        <w:spacing w:line="120" w:lineRule="auto"/>
        <w:rPr>
          <w:rFonts w:asciiTheme="minorHAnsi" w:hAnsiTheme="minorHAnsi" w:cstheme="minorHAnsi"/>
          <w:color w:val="7030A0"/>
          <w:kern w:val="28"/>
          <w:sz w:val="28"/>
          <w:szCs w:val="28"/>
        </w:rPr>
      </w:pP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trPr>
          <w:jc w:val="center"/>
        </w:trPr>
        <w:tc>
          <w:tcPr>
            <w:tcW w:w="5523" w:type="dxa"/>
          </w:tcPr>
          <w:p>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Oui</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trPr>
          <w:jc w:val="center"/>
        </w:trPr>
        <w:tc>
          <w:tcPr>
            <w:tcW w:w="5523" w:type="dxa"/>
          </w:tcPr>
          <w:p>
            <w:pPr>
              <w:rPr>
                <w:rFonts w:asciiTheme="minorHAnsi" w:hAnsiTheme="minorHAnsi" w:cstheme="minorHAnsi"/>
                <w:szCs w:val="20"/>
              </w:rPr>
            </w:pPr>
            <w:r>
              <w:rPr>
                <w:rFonts w:asciiTheme="minorHAnsi" w:hAnsiTheme="minorHAnsi" w:cstheme="minorHAnsi"/>
                <w:szCs w:val="20"/>
              </w:rPr>
              <w:t>L'écoulement se fait-il correctement ?</w:t>
            </w:r>
          </w:p>
          <w:p>
            <w:pPr>
              <w:rPr>
                <w:rFonts w:asciiTheme="minorHAnsi" w:hAnsiTheme="minorHAnsi" w:cstheme="minorHAnsi"/>
                <w:szCs w:val="20"/>
              </w:rPr>
            </w:pPr>
          </w:p>
        </w:tc>
        <w:tc>
          <w:tcPr>
            <w:tcW w:w="5048" w:type="dxa"/>
          </w:tcPr>
          <w:p>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trPr>
          <w:jc w:val="center"/>
        </w:trPr>
        <w:tc>
          <w:tcPr>
            <w:tcW w:w="5523" w:type="dxa"/>
          </w:tcPr>
          <w:p>
            <w:pPr>
              <w:snapToGrid w:val="0"/>
              <w:rPr>
                <w:rFonts w:asciiTheme="minorHAnsi" w:hAnsiTheme="minorHAnsi" w:cstheme="minorHAnsi"/>
                <w:szCs w:val="20"/>
              </w:rPr>
            </w:pPr>
            <w:r>
              <w:rPr>
                <w:rFonts w:asciiTheme="minorHAnsi" w:hAnsiTheme="minorHAnsi" w:cstheme="minorHAnsi"/>
                <w:szCs w:val="20"/>
              </w:rPr>
              <w:t>Présence d’odeurs ?</w:t>
            </w:r>
          </w:p>
          <w:p>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pPr>
              <w:snapToGrid w:val="0"/>
              <w:rPr>
                <w:rFonts w:asciiTheme="minorHAnsi" w:hAnsiTheme="minorHAnsi" w:cstheme="minorHAnsi"/>
                <w:szCs w:val="20"/>
              </w:rPr>
            </w:pPr>
          </w:p>
        </w:tc>
      </w:tr>
      <w:tr>
        <w:trPr>
          <w:jc w:val="center"/>
        </w:trPr>
        <w:tc>
          <w:tcPr>
            <w:tcW w:w="10571" w:type="dxa"/>
            <w:gridSpan w:val="2"/>
          </w:tcPr>
          <w:p>
            <w:pPr>
              <w:snapToGrid w:val="0"/>
              <w:rPr>
                <w:rFonts w:asciiTheme="minorHAnsi" w:hAnsiTheme="minorHAnsi" w:cstheme="minorHAnsi"/>
                <w:szCs w:val="20"/>
              </w:rPr>
            </w:pPr>
            <w:r>
              <w:rPr>
                <w:rFonts w:asciiTheme="minorHAnsi" w:hAnsiTheme="minorHAnsi" w:cstheme="minorHAnsi"/>
                <w:szCs w:val="20"/>
              </w:rPr>
              <w:t xml:space="preserve">Commentaires : </w:t>
            </w:r>
          </w:p>
        </w:tc>
      </w:tr>
    </w:tbl>
    <w:p>
      <w:pPr>
        <w:rPr>
          <w:rFonts w:asciiTheme="minorHAnsi" w:hAnsiTheme="minorHAnsi" w:cstheme="minorHAnsi"/>
          <w:sz w:val="18"/>
          <w:szCs w:val="18"/>
        </w:rPr>
      </w:pPr>
    </w:p>
    <w:p>
      <w:pPr>
        <w:rPr>
          <w:sz w:val="18"/>
        </w:rPr>
      </w:pPr>
      <w:r>
        <w:rPr>
          <w:sz w:val="18"/>
        </w:rPr>
        <w:t/>
      </w:r>
    </w:p>
    <w:p>
      <w:pPr>
        <w:rPr>
          <w:sz w:val="18"/>
        </w:rPr>
      </w:pPr>
      <w:r>
        <w:rPr>
          <w:sz w:val="18"/>
        </w:rPr>
        <w:t/>
      </w: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regard de collecte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Le regard est-il accessible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Présente-t-il des signes d'altération (affaissement, corrosion, fissure, déformation...)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Le regard est-il affleurant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Stagnation d'eaux dans le regard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Dépôt de matière en fond de regard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Présence d'odeurs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Ecoulement correct au sein du regard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Commentaire</w:t>
            </w:r>
          </w:p>
        </w:tc>
        <w:tc>
          <w:tcPr>
            <w:tcW w:w="7027" w:type="dxa"/>
          </w:tcPr>
          <w:p>
            <w:pPr>
              <w:rPr>
                <w:sz w:val="18"/>
              </w:rPr>
            </w:pPr>
            <w:r>
              <w:rPr>
                <w:sz w:val="18"/>
              </w:rPr>
              <w:t>Ce regard reçoit les eaux ménagères de la cuisine</w:t>
            </w:r>
          </w:p>
        </w:tc>
      </w:tr>
    </w:tbl>
    <w:p>
      <w:pPr>
        <w:rPr>
          <w:sz w:val="18"/>
        </w:rPr>
      </w:pPr>
      <w:r>
        <w:rPr>
          <w:sz w:val="18"/>
        </w:rPr>
        <w:t/>
      </w:r>
    </w:p>
    <w:p>
      <w:pPr>
        <w:rPr>
          <w:sz w:val="18"/>
        </w:rPr>
      </w:pPr>
      <w:r>
        <w:rPr>
          <w:sz w:val="18"/>
        </w:rPr>
        <w:t/>
      </w: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regard de collecte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Le regard est-il accessible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Présente-t-il des signes d'altération (affaissement, corrosion, fissure, déformation...)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Le regard est-il affleurant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Stagnation d'eaux dans le regard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Dépôt de matière en fond de regard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Présence d'odeurs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Ecoulement correct au sein du regard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Commentaire</w:t>
            </w:r>
          </w:p>
        </w:tc>
        <w:tc>
          <w:tcPr>
            <w:tcW w:w="7027" w:type="dxa"/>
          </w:tcPr>
          <w:p>
            <w:pPr>
              <w:rPr>
                <w:sz w:val="18"/>
              </w:rPr>
            </w:pPr>
            <w:r>
              <w:rPr>
                <w:sz w:val="18"/>
              </w:rPr>
              <w:t>Ce regard reçoit les eaux ménagères de la salle de bain</w:t>
            </w:r>
          </w:p>
        </w:tc>
      </w:tr>
    </w:tbl>
    <w:p>
      <w:pPr>
        <w:rPr>
          <w:sz w:val="18"/>
        </w:rPr>
      </w:pPr>
      <w:r>
        <w:rPr>
          <w:sz w:val="18"/>
        </w:rPr>
        <w:t/>
      </w:r>
    </w:p>
    <w:p>
      <w:pPr>
        <w:rPr>
          <w:rFonts w:cs="Arial"/>
          <w:sz w:val="18"/>
          <w:szCs w:val="18"/>
        </w:rPr>
      </w:pPr>
      <w:r>
        <w:rPr>
          <w:rFonts w:cs="Arial"/>
          <w:sz w:val="18"/>
          <w:szCs w:val="18"/>
        </w:rPr>
        <w:t/>
      </w: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prétraitement : Fosse septique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Volume en m³</w:t>
            </w:r>
          </w:p>
        </w:tc>
        <w:tc>
          <w:tcPr>
            <w:tcW w:w="7027" w:type="dxa"/>
          </w:tcPr>
          <w:p>
            <w:pPr>
              <w:rPr>
                <w:rFonts w:cs="Arial"/>
                <w:sz w:val="18"/>
                <w:szCs w:val="18"/>
              </w:rPr>
            </w:pPr>
            <w:r>
              <w:rPr>
                <w:rFonts w:cs="Arial"/>
                <w:sz w:val="18"/>
                <w:szCs w:val="18"/>
              </w:rPr>
              <w:t>1 m</w:t>
            </w:r>
            <w:r>
              <w:rPr>
                <w:rFonts w:cs="Arial"/>
                <w:sz w:val="18"/>
                <w:szCs w:val="18"/>
                <w:vertAlign w:val="superscript"/>
              </w:rPr>
              <w:t>3</w:t>
            </w:r>
          </w:p>
        </w:tc>
      </w:tr>
      <w:tr>
        <w:trPr>
          <w:jc w:val="center"/>
        </w:trPr>
        <w:tc>
          <w:tcPr>
            <w:tcW w:w="3343" w:type="dxa"/>
            <w:shd w:val="clear" w:color="auto" w:fill="auto"/>
          </w:tcPr>
          <w:p>
            <w:pPr>
              <w:rPr>
                <w:rFonts w:cs="Arial"/>
                <w:sz w:val="18"/>
                <w:szCs w:val="18"/>
              </w:rPr>
            </w:pPr>
            <w:r>
              <w:rPr>
                <w:rFonts w:cs="Arial"/>
                <w:sz w:val="18"/>
                <w:szCs w:val="18"/>
              </w:rPr>
              <w:t>Marque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lastRenderedPageBreak/>
              <w:t>Matériaux</w:t>
            </w:r>
          </w:p>
        </w:tc>
        <w:tc>
          <w:tcPr>
            <w:tcW w:w="7027" w:type="dxa"/>
          </w:tcPr>
          <w:p>
            <w:pPr>
              <w:rPr>
                <w:rFonts w:cs="Arial"/>
                <w:sz w:val="18"/>
                <w:szCs w:val="18"/>
              </w:rPr>
            </w:pPr>
            <w:r>
              <w:rPr>
                <w:rFonts w:cs="Arial"/>
                <w:sz w:val="18"/>
                <w:szCs w:val="18"/>
              </w:rPr>
              <w:t>Béton</w:t>
            </w:r>
          </w:p>
        </w:tc>
      </w:tr>
      <w:tr>
        <w:trPr>
          <w:jc w:val="center"/>
        </w:trPr>
        <w:tc>
          <w:tcPr>
            <w:tcW w:w="3343" w:type="dxa"/>
            <w:shd w:val="clear" w:color="auto" w:fill="auto"/>
          </w:tcPr>
          <w:p>
            <w:pPr>
              <w:rPr>
                <w:rFonts w:cs="Arial"/>
                <w:sz w:val="18"/>
                <w:szCs w:val="18"/>
              </w:rPr>
            </w:pPr>
            <w:r>
              <w:rPr>
                <w:rFonts w:cs="Arial"/>
                <w:sz w:val="18"/>
                <w:szCs w:val="18"/>
              </w:rPr>
              <w:t>Commentaire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Eaux vannes et eaux ménagères prétraitées séparément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Type d'eaux usées</w:t>
            </w:r>
          </w:p>
        </w:tc>
        <w:tc>
          <w:tcPr>
            <w:tcW w:w="7027" w:type="dxa"/>
          </w:tcPr>
          <w:p>
            <w:pPr>
              <w:rPr>
                <w:rFonts w:cs="Arial"/>
                <w:sz w:val="18"/>
                <w:szCs w:val="18"/>
              </w:rPr>
            </w:pPr>
            <w:r>
              <w:rPr>
                <w:rFonts w:cs="Arial"/>
                <w:sz w:val="18"/>
                <w:szCs w:val="18"/>
              </w:rPr>
              <w:t>Eaux vannes</w:t>
            </w:r>
          </w:p>
        </w:tc>
      </w:tr>
      <w:tr>
        <w:trPr>
          <w:jc w:val="center"/>
        </w:trPr>
        <w:tc>
          <w:tcPr>
            <w:tcW w:w="3343" w:type="dxa"/>
            <w:shd w:val="clear" w:color="auto" w:fill="auto"/>
          </w:tcPr>
          <w:p>
            <w:pPr>
              <w:rPr>
                <w:rFonts w:cs="Arial"/>
                <w:sz w:val="18"/>
                <w:szCs w:val="18"/>
              </w:rPr>
            </w:pPr>
            <w:r>
              <w:rPr>
                <w:rFonts w:cs="Arial"/>
                <w:sz w:val="18"/>
                <w:szCs w:val="18"/>
              </w:rPr>
              <w:t>Le prétraitement est-il accessible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Le tampon est-il verrouillé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Précision sur le verrouillage du tampon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Le regard du prétraitement est-il affleurant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Le dimensionnement est-il adapté à la capacité d'accueil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Un des organes du système de prétraitement présente-t-il des signes d'altération (affaissement, fissure, déformation, corrosion...)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Si oui, 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Présence d'odeurs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L'écoulement des eaux au sein des différents éléments de prétraitements se fait-il correctement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Si présence d'une fosse, la hauteur de boues est-elle supérieure à la moitié de la hauteur de la fosse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Vidange(s) effectuée(s)</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sur le prétraitement</w:t>
            </w:r>
          </w:p>
        </w:tc>
        <w:tc>
          <w:tcPr>
            <w:tcW w:w="7027" w:type="dxa"/>
          </w:tcPr>
          <w:p>
            <w:pPr>
              <w:rPr>
                <w:rFonts w:cs="Arial"/>
                <w:sz w:val="18"/>
                <w:szCs w:val="18"/>
              </w:rPr>
            </w:pPr>
            <w:r>
              <w:rPr>
                <w:rFonts w:cs="Arial"/>
                <w:sz w:val="18"/>
                <w:szCs w:val="18"/>
              </w:rPr>
              <w:t/>
            </w:r>
          </w:p>
        </w:tc>
      </w:tr>
    </w:tbl>
    <w:p>
      <w:pPr>
        <w:rPr>
          <w:rFonts w:cs="Arial"/>
          <w:sz w:val="18"/>
          <w:szCs w:val="18"/>
        </w:rPr>
      </w:pPr>
      <w:r>
        <w:rPr>
          <w:rFonts w:cs="Arial"/>
          <w:sz w:val="18"/>
          <w:szCs w:val="18"/>
        </w:rPr>
        <w:t/>
      </w:r>
    </w:p>
    <w:p>
      <w:pPr>
        <w:rPr>
          <w:sz w:val="18"/>
        </w:rPr>
      </w:pPr>
      <w:r>
        <w:rPr>
          <w:sz w:val="18"/>
        </w:rPr>
        <w:t/>
      </w:r>
    </w:p>
    <w:p>
      <w:pPr>
        <w:pStyle w:val="Citationintense"/>
        <w:pBdr>
          <w:bottom w:val="none" w:sz="0" w:space="0" w:color="auto"/>
        </w:pBdr>
        <w:spacing w:after="0"/>
        <w:rPr>
          <w:rFonts w:asciiTheme="minorHAnsi" w:hAnsiTheme="minorHAnsi" w:cstheme="minorHAnsi"/>
          <w:b w:val="0"/>
          <w:bCs w:val="0"/>
          <w:i w:val="0"/>
          <w:iCs w:val="0"/>
          <w:color w:val="FF9900"/>
          <w:kern w:val="28"/>
          <w:sz w:val="28"/>
          <w:szCs w:val="28"/>
          <w:lang w:eastAsia="fr-FR"/>
        </w:rPr>
      </w:pPr>
      <w:r>
        <w:rPr>
          <w:rFonts w:asciiTheme="minorHAnsi" w:hAnsiTheme="minorHAnsi" w:cstheme="minorHAnsi"/>
          <w:b w:val="0"/>
          <w:bCs w:val="0"/>
          <w:i w:val="0"/>
          <w:iCs w:val="0"/>
          <w:color w:val="FF9900"/>
          <w:kern w:val="28"/>
          <w:sz w:val="28"/>
          <w:szCs w:val="28"/>
          <w:lang w:eastAsia="fr-FR"/>
        </w:rPr>
        <w:t>La ventilation</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Diamètre en mm</w:t>
            </w:r>
          </w:p>
        </w:tc>
        <w:tc>
          <w:tcPr>
            <w:tcW w:w="7027" w:type="dxa"/>
          </w:tcPr>
          <w:p>
            <w:pPr>
              <w:rPr>
                <w:sz w:val="18"/>
              </w:rPr>
            </w:pPr>
            <w:r>
              <w:rPr>
                <w:sz w:val="18"/>
              </w:rPr>
              <w:t>80 mm</w:t>
            </w:r>
          </w:p>
        </w:tc>
      </w:tr>
      <w:tr>
        <w:trPr>
          <w:jc w:val="center"/>
        </w:trPr>
        <w:tc>
          <w:tcPr>
            <w:tcW w:w="3343" w:type="dxa"/>
            <w:shd w:val="clear" w:color="auto" w:fill="auto"/>
          </w:tcPr>
          <w:p>
            <w:pPr>
              <w:rPr>
                <w:sz w:val="18"/>
              </w:rPr>
            </w:pPr>
            <w:r>
              <w:rPr>
                <w:sz w:val="18"/>
              </w:rPr>
              <w:t>Commentaire</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Type de ventilation</w:t>
            </w:r>
          </w:p>
        </w:tc>
        <w:tc>
          <w:tcPr>
            <w:tcW w:w="7027" w:type="dxa"/>
          </w:tcPr>
          <w:p>
            <w:pPr>
              <w:rPr>
                <w:sz w:val="18"/>
              </w:rPr>
            </w:pPr>
            <w:r>
              <w:rPr>
                <w:sz w:val="18"/>
              </w:rPr>
              <w:t>Ventilation secondaire</w:t>
            </w:r>
          </w:p>
        </w:tc>
      </w:tr>
      <w:tr>
        <w:trPr>
          <w:jc w:val="center"/>
        </w:trPr>
        <w:tc>
          <w:tcPr>
            <w:tcW w:w="3343" w:type="dxa"/>
            <w:shd w:val="clear" w:color="auto" w:fill="auto"/>
          </w:tcPr>
          <w:p>
            <w:pPr>
              <w:rPr>
                <w:sz w:val="18"/>
              </w:rPr>
            </w:pPr>
            <w:r>
              <w:rPr>
                <w:sz w:val="18"/>
              </w:rPr>
              <w:t>Equipements</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La ventilation est-elle correctement conçue (entrée d'air amont prétraitement, raccordement aval fosse, sortie au dessus des locaux habités)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Si extracteur, fonctionne-t-il correctement ?</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Si extraction d'air, est-elle à plus de 40 cm au dessus du faitage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Commentaires sur la ventilation :</w:t>
            </w:r>
          </w:p>
        </w:tc>
        <w:tc>
          <w:tcPr>
            <w:tcW w:w="7027" w:type="dxa"/>
          </w:tcPr>
          <w:p>
            <w:pPr>
              <w:rPr>
                <w:sz w:val="18"/>
              </w:rPr>
            </w:pPr>
            <w:r>
              <w:rPr>
                <w:sz w:val="18"/>
              </w:rPr>
              <w:t/>
            </w:r>
          </w:p>
        </w:tc>
      </w:tr>
    </w:tbl>
    <w:p>
      <w:pPr>
        <w:rPr>
          <w:sz w:val="18"/>
        </w:rPr>
      </w:pPr>
      <w:r>
        <w:rPr>
          <w:sz w:val="18"/>
        </w:rPr>
        <w:t/>
      </w:r>
    </w:p>
    <w:p>
      <w:pPr>
        <w:rPr>
          <w:rFonts w:cs="Arial"/>
          <w:sz w:val="18"/>
          <w:szCs w:val="18"/>
        </w:rPr>
      </w:pPr>
      <w:r>
        <w:rPr>
          <w:rFonts w:cs="Arial"/>
          <w:sz w:val="18"/>
          <w:szCs w:val="18"/>
        </w:rPr>
        <w:t/>
      </w:r>
    </w:p>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Le regard de visite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Le regard est-il accessible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Présente t'il des signes d'altération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Le regard est-il affleurant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Stagnation d'eaux dans le regard ?</w:t>
            </w:r>
          </w:p>
        </w:tc>
        <w:tc>
          <w:tcPr>
            <w:tcW w:w="7027" w:type="dxa"/>
          </w:tcPr>
          <w:p>
            <w:pPr>
              <w:rPr>
                <w:sz w:val="18"/>
              </w:rPr>
            </w:pPr>
            <w:r>
              <w:rPr>
                <w:sz w:val="18"/>
              </w:rPr>
              <w:t>Non</w:t>
            </w:r>
          </w:p>
        </w:tc>
      </w:tr>
      <w:tr>
        <w:trPr>
          <w:jc w:val="center"/>
        </w:trPr>
        <w:tc>
          <w:tcPr>
            <w:tcW w:w="3343" w:type="dxa"/>
            <w:shd w:val="clear" w:color="auto" w:fill="auto"/>
          </w:tcPr>
          <w:p>
            <w:pPr>
              <w:rPr>
                <w:sz w:val="18"/>
                <w:lang w:val="en-US"/>
              </w:rPr>
            </w:pPr>
            <w:r>
              <w:rPr>
                <w:sz w:val="18"/>
                <w:lang w:val="en-US"/>
              </w:rPr>
              <w:t>Dépôt de matière en fond de regard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Présence d'odeurs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Ecoulement correct au sein du regard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Commentaire sur le regard de visite</w:t>
            </w:r>
          </w:p>
        </w:tc>
        <w:tc>
          <w:tcPr>
            <w:tcW w:w="7027" w:type="dxa"/>
          </w:tcPr>
          <w:p>
            <w:pPr>
              <w:rPr>
                <w:sz w:val="18"/>
              </w:rPr>
            </w:pPr>
            <w:r>
              <w:rPr>
                <w:sz w:val="18"/>
              </w:rPr>
              <w:t>Ce regard reçoit le trop plein du regard de la salle de bain et le trop plein de la fosse septique</w:t>
            </w:r>
          </w:p>
        </w:tc>
      </w:tr>
    </w:tbl>
    <w:p>
      <w:pPr>
        <w:rPr>
          <w:sz w:val="18"/>
        </w:rPr>
      </w:pPr>
      <w:r>
        <w:rPr>
          <w:sz w:val="18"/>
        </w:rPr>
        <w:t/>
      </w:r>
    </w:p>
    <w:p>
      <w:pPr>
        <w:rPr>
          <w:sz w:val="18"/>
        </w:rPr>
      </w:pPr>
      <w:r>
        <w:rPr>
          <w:sz w:val="18"/>
        </w:rPr>
        <w:t/>
      </w:r>
    </w:p>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Type de rejet</w:t>
            </w:r>
          </w:p>
        </w:tc>
        <w:tc>
          <w:tcPr>
            <w:tcW w:w="7027" w:type="dxa"/>
          </w:tcPr>
          <w:p>
            <w:pPr>
              <w:rPr>
                <w:rFonts w:cs="Arial"/>
                <w:sz w:val="18"/>
                <w:szCs w:val="18"/>
              </w:rPr>
            </w:pPr>
            <w:r>
              <w:rPr>
                <w:rFonts w:cs="Arial"/>
                <w:sz w:val="18"/>
                <w:szCs w:val="18"/>
              </w:rPr>
              <w:t>Milieu hydraulique superficiel</w:t>
            </w:r>
          </w:p>
        </w:tc>
      </w:tr>
      <w:tr>
        <w:trPr>
          <w:jc w:val="center"/>
        </w:trPr>
        <w:tc>
          <w:tcPr>
            <w:tcW w:w="3343" w:type="dxa"/>
            <w:shd w:val="clear" w:color="auto" w:fill="auto"/>
          </w:tcPr>
          <w:p>
            <w:pPr>
              <w:rPr>
                <w:rFonts w:cs="Arial"/>
                <w:sz w:val="18"/>
                <w:szCs w:val="18"/>
              </w:rPr>
            </w:pPr>
            <w:r>
              <w:rPr>
                <w:rFonts w:cs="Arial"/>
                <w:sz w:val="18"/>
                <w:szCs w:val="18"/>
              </w:rPr>
              <w:t>Lieu de rejet prévu ou actuel</w:t>
            </w:r>
          </w:p>
        </w:tc>
        <w:tc>
          <w:tcPr>
            <w:tcW w:w="7027" w:type="dxa"/>
          </w:tcPr>
          <w:p>
            <w:pPr>
              <w:rPr>
                <w:rFonts w:cs="Arial"/>
                <w:sz w:val="18"/>
                <w:szCs w:val="18"/>
              </w:rPr>
            </w:pPr>
            <w:r>
              <w:rPr>
                <w:rFonts w:cs="Arial"/>
                <w:sz w:val="18"/>
                <w:szCs w:val="18"/>
              </w:rPr>
              <w:t>Fossé routier</w:t>
            </w:r>
          </w:p>
        </w:tc>
      </w:tr>
      <w:tr>
        <w:trPr>
          <w:jc w:val="center"/>
        </w:trPr>
        <w:tc>
          <w:tcPr>
            <w:tcW w:w="3343" w:type="dxa"/>
            <w:shd w:val="clear" w:color="auto" w:fill="auto"/>
          </w:tcPr>
          <w:p>
            <w:pPr>
              <w:rPr>
                <w:rFonts w:cs="Arial"/>
                <w:sz w:val="18"/>
                <w:szCs w:val="18"/>
              </w:rPr>
            </w:pPr>
            <w:r>
              <w:rPr>
                <w:rFonts w:cs="Arial"/>
                <w:sz w:val="18"/>
                <w:szCs w:val="18"/>
              </w:rPr>
              <w:t>Nature des eaux rejetées</w:t>
            </w:r>
          </w:p>
        </w:tc>
        <w:tc>
          <w:tcPr>
            <w:tcW w:w="7027" w:type="dxa"/>
          </w:tcPr>
          <w:p>
            <w:pPr>
              <w:rPr>
                <w:rFonts w:cs="Arial"/>
                <w:sz w:val="18"/>
                <w:szCs w:val="18"/>
              </w:rPr>
            </w:pPr>
            <w:r>
              <w:rPr>
                <w:rFonts w:cs="Arial"/>
                <w:sz w:val="18"/>
                <w:szCs w:val="18"/>
              </w:rPr>
              <w:t>Eaux brutes et eaux prétraitées</w:t>
            </w:r>
          </w:p>
        </w:tc>
      </w:tr>
      <w:tr>
        <w:trPr>
          <w:jc w:val="center"/>
        </w:trPr>
        <w:tc>
          <w:tcPr>
            <w:tcW w:w="3343" w:type="dxa"/>
            <w:shd w:val="clear" w:color="auto" w:fill="auto"/>
          </w:tcPr>
          <w:p>
            <w:pPr>
              <w:rPr>
                <w:rFonts w:cs="Arial"/>
                <w:sz w:val="18"/>
                <w:szCs w:val="18"/>
              </w:rPr>
            </w:pPr>
            <w:r>
              <w:rPr>
                <w:rFonts w:cs="Arial"/>
                <w:sz w:val="18"/>
                <w:szCs w:val="18"/>
              </w:rPr>
              <w:t>Commentaire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vers le milieu superficiel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Bruts + Prétraités</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Etat de l'exutoire (stagnation d'effluents, odeurs, dépôts...) :</w:t>
            </w:r>
          </w:p>
        </w:tc>
        <w:tc>
          <w:tcPr>
            <w:tcW w:w="7027" w:type="dxa"/>
          </w:tcPr>
          <w:p>
            <w:pPr>
              <w:rPr>
                <w:rFonts w:cs="Arial"/>
                <w:sz w:val="18"/>
                <w:szCs w:val="18"/>
              </w:rPr>
            </w:pPr>
            <w:r>
              <w:rPr>
                <w:rFonts w:cs="Arial"/>
                <w:sz w:val="18"/>
                <w:szCs w:val="18"/>
              </w:rPr>
              <w:t>Non visible</w:t>
            </w:r>
          </w:p>
        </w:tc>
      </w:tr>
      <w:tr>
        <w:trPr>
          <w:jc w:val="center"/>
        </w:trPr>
        <w:tc>
          <w:tcPr>
            <w:tcW w:w="3343" w:type="dxa"/>
            <w:shd w:val="clear" w:color="auto" w:fill="auto"/>
          </w:tcPr>
          <w:p>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dans le sous-sol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Ouvrage de rejet accessible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oui, infiltration des effluents bien assurée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Le rejet s'effectue t'il par un puit d'infiltration conforme à la réglementation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oui, existe-t-il une autorisation communale?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non, nature de l'ouvrage?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pPr>
              <w:rPr>
                <w:rFonts w:cs="Arial"/>
                <w:sz w:val="18"/>
                <w:szCs w:val="18"/>
              </w:rPr>
            </w:pPr>
            <w:r>
              <w:rPr>
                <w:rFonts w:cs="Arial"/>
                <w:sz w:val="18"/>
                <w:szCs w:val="18"/>
              </w:rPr>
              <w:lastRenderedPageBreak/>
              <w:t/>
            </w:r>
          </w:p>
        </w:tc>
      </w:tr>
      <w:tr>
        <w:trPr>
          <w:jc w:val="center"/>
        </w:trPr>
        <w:tc>
          <w:tcPr>
            <w:tcW w:w="3343" w:type="dxa"/>
            <w:shd w:val="clear" w:color="auto" w:fill="auto"/>
          </w:tcPr>
          <w:p>
            <w:pPr>
              <w:rPr>
                <w:rFonts w:cs="Arial"/>
                <w:sz w:val="18"/>
                <w:szCs w:val="18"/>
              </w:rPr>
            </w:pPr>
            <w:r>
              <w:rPr>
                <w:rFonts w:cs="Arial"/>
                <w:sz w:val="18"/>
                <w:szCs w:val="18"/>
              </w:rPr>
              <w:lastRenderedPageBreak/>
              <w:t>Si rejet par dispersion (tranchées), longueur des tranchées en m / ml :</w:t>
            </w:r>
          </w:p>
        </w:tc>
        <w:tc>
          <w:tcPr>
            <w:tcW w:w="7027" w:type="dxa"/>
          </w:tcPr>
          <w:p>
            <w:pPr>
              <w:rPr>
                <w:rFonts w:cs="Arial"/>
                <w:sz w:val="18"/>
                <w:szCs w:val="18"/>
              </w:rPr>
            </w:pPr>
            <w:r>
              <w:rPr>
                <w:rFonts w:cs="Arial"/>
                <w:sz w:val="18"/>
                <w:szCs w:val="18"/>
              </w:rPr>
              <w:t xml:space="preserve"> ml</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xml:space="preserve"> m</w:t>
            </w:r>
          </w:p>
        </w:tc>
      </w:tr>
      <w:tr>
        <w:trPr>
          <w:jc w:val="center"/>
        </w:trPr>
        <w:tc>
          <w:tcPr>
            <w:tcW w:w="3343" w:type="dxa"/>
            <w:shd w:val="clear" w:color="auto" w:fill="auto"/>
          </w:tcPr>
          <w:p>
            <w:pPr>
              <w:rPr>
                <w:rFonts w:cs="Arial"/>
                <w:sz w:val="18"/>
                <w:szCs w:val="18"/>
              </w:rPr>
            </w:pPr>
            <w:r>
              <w:rPr>
                <w:rFonts w:cs="Arial"/>
                <w:sz w:val="18"/>
                <w:szCs w:val="18"/>
              </w:rPr>
              <w:t>Présence de regard(s) de contrôle et de répartition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L'infiltration fonctionne-t-elle correctement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Présence d'odeurs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sur le rejet dans le sous-sol :</w:t>
            </w:r>
          </w:p>
        </w:tc>
        <w:tc>
          <w:tcPr>
            <w:tcW w:w="7027" w:type="dxa"/>
          </w:tcPr>
          <w:p>
            <w:pPr>
              <w:rPr>
                <w:rFonts w:cs="Arial"/>
                <w:sz w:val="18"/>
                <w:szCs w:val="18"/>
              </w:rPr>
            </w:pPr>
            <w:r>
              <w:rPr>
                <w:rFonts w:cs="Arial"/>
                <w:sz w:val="18"/>
                <w:szCs w:val="18"/>
              </w:rPr>
              <w:t/>
            </w:r>
          </w:p>
        </w:tc>
      </w:tr>
    </w:tbl>
    <w:p>
      <w:pPr>
        <w:rPr>
          <w:rFonts w:cs="Arial"/>
          <w:sz w:val="18"/>
          <w:szCs w:val="18"/>
        </w:rPr>
      </w:pPr>
      <w:r>
        <w:rPr>
          <w:rFonts w:cs="Arial"/>
          <w:sz w:val="18"/>
          <w:szCs w:val="18"/>
        </w:rPr>
        <w:t/>
      </w:r>
    </w:p>
    <w:p>
      <w:pPr>
        <w:rPr>
          <w:sz w:val="18"/>
        </w:rPr>
      </w:pPr>
      <w:r>
        <w:rPr>
          <w:sz w:val="18"/>
        </w:rPr>
        <w:t/>
      </w:r>
    </w:p>
    <w:p>
      <w:pPr>
        <w:pStyle w:val="Titre1"/>
        <w:spacing w:before="0" w:after="0"/>
        <w:ind w:hanging="148"/>
        <w:rPr>
          <w:color w:val="7030A0"/>
          <w:sz w:val="24"/>
        </w:rPr>
      </w:pPr>
    </w:p>
    <w:p>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pPr>
              <w:snapToGrid w:val="0"/>
              <w:rPr>
                <w:rFonts w:asciiTheme="minorHAnsi" w:hAnsiTheme="minorHAnsi" w:cstheme="minorHAnsi"/>
                <w:b/>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tabs>
                <w:tab w:val="right" w:leader="dot" w:pos="8503"/>
              </w:tabs>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tabs>
                <w:tab w:val="right" w:leader="dot" w:pos="8503"/>
              </w:tabs>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jc w:val="both"/>
              <w:rPr>
                <w:rFonts w:asciiTheme="minorHAnsi" w:hAnsiTheme="minorHAnsi" w:cstheme="minorHAnsi"/>
                <w:szCs w:val="20"/>
              </w:rPr>
            </w:pPr>
          </w:p>
        </w:tc>
      </w:tr>
    </w:tbl>
    <w:p>
      <w:pPr>
        <w:rPr>
          <w:rFonts w:asciiTheme="minorHAnsi" w:hAnsiTheme="minorHAnsi" w:cstheme="minorHAnsi"/>
        </w:rPr>
      </w:pPr>
    </w:p>
    <w:p>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trPr>
          <w:cantSplit/>
          <w:jc w:val="center"/>
        </w:trPr>
        <w:tc>
          <w:tcPr>
            <w:tcW w:w="5108" w:type="dxa"/>
            <w:shd w:val="clear" w:color="auto" w:fill="FFCC99"/>
          </w:tcPr>
          <w:p>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pPr>
              <w:rPr>
                <w:rStyle w:val="Miseenvidence"/>
                <w:rFonts w:asciiTheme="minorHAnsi" w:hAnsiTheme="minorHAnsi" w:cstheme="minorHAnsi"/>
                <w:szCs w:val="20"/>
              </w:rPr>
            </w:pPr>
            <w:r>
              <w:rPr>
                <w:rFonts w:asciiTheme="minorHAnsi" w:hAnsiTheme="minorHAnsi" w:cstheme="minorHAnsi"/>
                <w:szCs w:val="20"/>
              </w:rPr>
              <w:t>Non conforme</w:t>
            </w:r>
          </w:p>
        </w:tc>
      </w:tr>
      <w:tr>
        <w:trPr>
          <w:cantSplit/>
          <w:jc w:val="center"/>
        </w:trPr>
        <w:tc>
          <w:tcPr>
            <w:tcW w:w="10407" w:type="dxa"/>
            <w:gridSpan w:val="2"/>
          </w:tcPr>
          <w:p>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xml:space="preserve"> L’acquéreur devra réaliser une filière complète d’assainissement individuel comprenant un prétraitement de l’ensemble des eaux usées (type fosse toutes eaux) suivi d’un traitement adapté aux caractéristiques du sol et de l’habitation.</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pPr>
              <w:rPr>
                <w:rStyle w:val="Miseenvidence"/>
                <w:rFonts w:asciiTheme="minorHAnsi" w:hAnsiTheme="minorHAnsi" w:cstheme="minorHAnsi"/>
                <w:szCs w:val="20"/>
              </w:rPr>
            </w:pPr>
          </w:p>
        </w:tc>
      </w:tr>
    </w:tbl>
    <w:p/>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trPr>
          <w:cantSplit/>
          <w:jc w:val="center"/>
        </w:trPr>
        <w:tc>
          <w:tcPr>
            <w:tcW w:w="5078" w:type="dxa"/>
            <w:shd w:val="clear" w:color="auto" w:fill="FFCC99"/>
            <w:vAlign w:val="center"/>
          </w:tcPr>
          <w:p>
            <w:pPr>
              <w:jc w:val="center"/>
              <w:rPr>
                <w:rFonts w:asciiTheme="minorHAnsi" w:hAnsiTheme="minorHAnsi" w:cstheme="minorHAnsi"/>
                <w:b/>
              </w:rPr>
            </w:pPr>
            <w:r>
              <w:rPr>
                <w:rFonts w:asciiTheme="minorHAnsi" w:hAnsiTheme="minorHAnsi" w:cstheme="minorHAnsi"/>
                <w:b/>
              </w:rPr>
              <w:t>Françoise PILLARD</w:t>
            </w:r>
          </w:p>
          <w:p>
            <w:pPr>
              <w:jc w:val="center"/>
              <w:rPr>
                <w:rFonts w:asciiTheme="minorHAnsi" w:hAnsiTheme="minorHAnsi" w:cstheme="minorHAnsi"/>
                <w:b/>
              </w:rPr>
            </w:pPr>
            <w:r>
              <w:rPr>
                <w:rFonts w:asciiTheme="minorHAnsi" w:hAnsiTheme="minorHAnsi" w:cstheme="minorHAnsi"/>
                <w:b/>
              </w:rPr>
              <w:t>Vice–Présidente en charge de l’Environnement</w:t>
            </w:r>
          </w:p>
        </w:tc>
        <w:tc>
          <w:tcPr>
            <w:tcW w:w="5299" w:type="dxa"/>
            <w:shd w:val="clear" w:color="auto" w:fill="FFCC99"/>
          </w:tcPr>
          <w:p>
            <w:pPr>
              <w:jc w:val="center"/>
              <w:rPr>
                <w:rFonts w:asciiTheme="minorHAnsi" w:hAnsiTheme="minorHAnsi" w:cstheme="minorHAnsi"/>
                <w:b/>
              </w:rPr>
            </w:pPr>
          </w:p>
          <w:p>
            <w:pPr>
              <w:jc w:val="center"/>
              <w:rPr>
                <w:rFonts w:asciiTheme="minorHAnsi" w:hAnsiTheme="minorHAnsi" w:cstheme="minorHAnsi"/>
                <w:b/>
              </w:rPr>
            </w:pPr>
          </w:p>
          <w:p>
            <w:pPr>
              <w:jc w:val="center"/>
              <w:rPr>
                <w:rFonts w:asciiTheme="minorHAnsi" w:hAnsiTheme="minorHAnsi" w:cstheme="minorHAnsi"/>
                <w:b/>
              </w:rPr>
            </w:pPr>
          </w:p>
          <w:p>
            <w:pPr>
              <w:jc w:val="center"/>
              <w:rPr>
                <w:rStyle w:val="Miseenvidence"/>
                <w:rFonts w:asciiTheme="minorHAnsi" w:hAnsiTheme="minorHAnsi" w:cstheme="minorHAnsi"/>
                <w:b w:val="0"/>
                <w:color w:val="FF0000"/>
              </w:rPr>
            </w:pPr>
          </w:p>
        </w:tc>
      </w:tr>
    </w:tbl>
    <w:p>
      <w:pPr>
        <w:rPr>
          <w:rFonts w:asciiTheme="minorHAnsi" w:hAnsiTheme="minorHAnsi" w:cstheme="minorHAnsi"/>
        </w:rPr>
      </w:pPr>
    </w:p>
    <w:sectPr>
      <w:footerReference w:type="default" r:id="rId9"/>
      <w:pgSz w:w="11907" w:h="16840"/>
      <w:pgMar w:top="360" w:right="567" w:bottom="726" w:left="567" w:header="284" w:footer="737"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En-tte"/>
      <w:tabs>
        <w:tab w:val="clear" w:pos="4536"/>
        <w:tab w:val="clear" w:pos="9072"/>
      </w:tabs>
      <w:jc w:val="center"/>
    </w:pPr>
    <w:r>
      <w:t>Communauté de Communes Cœur de Loire – 4 Place Georges Clemenceau – BP70 – 58203 COSNE SUR LOIRE Cedex</w:t>
    </w:r>
  </w:p>
  <w:p>
    <w:pPr>
      <w:jc w:val="center"/>
    </w:pPr>
    <w:r>
      <w:t>Tel : 03.86.28.92.92 / Fax : 03.86.28.92.93</w:t>
    </w:r>
  </w:p>
  <w:p>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18</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9"/>
  </w:num>
  <w:num w:numId="6">
    <w:abstractNumId w:val="7"/>
  </w:num>
  <w:num w:numId="7">
    <w:abstractNumId w:val="0"/>
  </w:num>
  <w:num w:numId="8">
    <w:abstractNumId w:val="1"/>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visionView w:inkAnnotations="0"/>
  <w:defaultTabStop w:val="709"/>
  <w:hyphenationZone w:val="425"/>
  <w:drawingGridHorizontalSpacing w:val="120"/>
  <w:displayHorizontalDrawingGridEvery w:val="2"/>
  <w:displayVerticalDrawingGridEvery w:val="2"/>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fr-FR" w:eastAsia="fr-F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0" w:qFormat="1"/>
    <w:lsdException w:name="Lis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5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fr-FR" w:eastAsia="fr-F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0" w:qFormat="1"/>
    <w:lsdException w:name="Lis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5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
<Relationships xmlns="http://schemas.openxmlformats.org/package/2006/relationships">
<Relationship Id="rId1" Target="numbering.xml" Type="http://schemas.openxmlformats.org/officeDocument/2006/relationships/numbering"/>
<Relationship Id="rId10" Target="fontTable.xml" Type="http://schemas.openxmlformats.org/officeDocument/2006/relationships/fontTable"/>
<Relationship Id="rId11" Target="theme/theme1.xml" Type="http://schemas.openxmlformats.org/officeDocument/2006/relationships/theme"/>
<Relationship Id="rId2" Target="styles.xml" Type="http://schemas.openxmlformats.org/officeDocument/2006/relationships/styles"/>
<Relationship Id="rId3" Target="stylesWithEffects.xml" Type="http://schemas.microsoft.com/office/2007/relationships/stylesWithEffect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footer1.xml" Type="http://schemas.openxmlformats.org/officeDocument/2006/relationships/footer"/>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36D26FDF.dotm</Template>
  <TotalTime>1</TotalTime>
  <Pages>41</Pages>
  <Words>14564</Words>
  <Characters>80104</Characters>
  <Application>Microsoft Office Word</Application>
  <DocSecurity>0</DocSecurity>
  <Lines>667</Lines>
  <Paragraphs>188</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94480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2019-12-16T09:48:00Z</dcterms:created>
  <dc:creator>loc</dc:creator>
  <cp:lastModifiedBy>rbc</cp:lastModifiedBy>
  <dcterms:modified xsi:type="dcterms:W3CDTF">2019-12-16T09:48:00Z</dcterms:modified>
  <cp:revision>2</cp:revision>
  <dc:title>Informations générales</dc:title>
</cp:coreProperties>
</file>