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2999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FONTARABY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61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VICK John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Crawley Lane </w:t>
            </w:r>
            <w:r>
              <w:rPr>
                <w:sz w:val="18"/>
                <w:szCs w:val="18"/>
              </w:rPr>
              <w:t>Pound Hill CRAWLEY West Sussex RH107EG</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   Royaume-Uni</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 filière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 + eaux ménagères</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 xml:space="preserve">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Non</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Non</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On a rien pu observer mais nous avons eu des indications sur des plans</w:t>
            </w:r>
          </w:p>
        </w:tc>
      </w:tr>
    </w:tbl>
    <w:p w14:paraId="0BAA6988" w14:textId="77777777" w:rsidR="00B8718F" w:rsidRDefault="009F11CC">
      <w:pPr>
        <w:rPr>
          <w:sz w:val="18"/>
          <w:lang w:val="en-US"/>
        </w:rPr>
      </w:pPr>
      <w:r>
        <w:rPr>
          <w:sz w:val="18"/>
          <w:lang w:val="en-US"/>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Rendre accessible les regards des ouvrages</w:t>
              <w:br/>
              <w:t>Modifier la ventilation secondaire de la fosse</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